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0" w:firstLine="0"/>
        <w:jc w:val="left"/>
        <w:rPr>
          <w:rFonts w:ascii="Arial" w:cs="Arial" w:eastAsia="Arial" w:hAnsi="Arial"/>
          <w:sz w:val="22"/>
          <w:szCs w:val="22"/>
        </w:rPr>
      </w:pPr>
      <w:bookmarkStart w:colFirst="0" w:colLast="0" w:name="_gjdgxs" w:id="0"/>
      <w:bookmarkEnd w:id="0"/>
      <w:r w:rsidDel="00000000" w:rsidR="00000000" w:rsidRPr="00000000">
        <w:rPr>
          <w:rFonts w:ascii="Arial" w:cs="Arial" w:eastAsia="Arial" w:hAnsi="Arial"/>
          <w:b w:val="1"/>
          <w:sz w:val="22"/>
          <w:szCs w:val="22"/>
          <w:u w:val="single"/>
          <w:rtl w:val="0"/>
        </w:rPr>
        <w:t xml:space="preserve">Oznaczenie </w:t>
      </w:r>
      <w:r w:rsidDel="00000000" w:rsidR="00000000" w:rsidRPr="00000000">
        <w:rPr>
          <w:rFonts w:ascii="Arial" w:cs="Arial" w:eastAsia="Arial" w:hAnsi="Arial"/>
          <w:b w:val="1"/>
          <w:color w:val="000000"/>
          <w:sz w:val="22"/>
          <w:szCs w:val="22"/>
          <w:u w:val="single"/>
          <w:rtl w:val="0"/>
        </w:rPr>
        <w:t xml:space="preserve">sprawy: ZP/2/PN/2024</w:t>
      </w:r>
      <w:r w:rsidDel="00000000" w:rsidR="00000000" w:rsidRPr="00000000">
        <w:rPr>
          <w:rtl w:val="0"/>
        </w:rPr>
      </w:r>
    </w:p>
    <w:p w:rsidR="00000000" w:rsidDel="00000000" w:rsidP="00000000" w:rsidRDefault="00000000" w:rsidRPr="00000000" w14:paraId="00000002">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4">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SPECYFIKACJA WARUNKÓW ZAMÓWIENIA</w:t>
      </w:r>
    </w:p>
    <w:p w:rsidR="00000000" w:rsidDel="00000000" w:rsidP="00000000" w:rsidRDefault="00000000" w:rsidRPr="00000000" w14:paraId="00000008">
      <w:pPr>
        <w:spacing w:after="0" w:lin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spacing w:after="0" w:line="240" w:lineRule="auto"/>
        <w:ind w:left="0" w:right="71" w:firstLine="10"/>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w postępowaniu o udzielenie zamówienia publicznego prowadzonego na podstawie przepisów ustawy z dnia 11 września 2019 r. Prawo zamówień publicznych (t. jedn.: Dz.U. 2023 poz. 1605 z późn. zm.), zwanej dalej „ustawą Pzp” na:</w:t>
      </w:r>
      <w:r w:rsidDel="00000000" w:rsidR="00000000" w:rsidRPr="00000000">
        <w:rPr>
          <w:rtl w:val="0"/>
        </w:rPr>
      </w:r>
    </w:p>
    <w:p w:rsidR="00000000" w:rsidDel="00000000" w:rsidP="00000000" w:rsidRDefault="00000000" w:rsidRPr="00000000" w14:paraId="0000000B">
      <w:pPr>
        <w:spacing w:after="0" w:line="240" w:lineRule="auto"/>
        <w:ind w:left="1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spacing w:after="0" w:line="240" w:lineRule="auto"/>
        <w:ind w:left="0" w:firstLine="0"/>
        <w:jc w:val="center"/>
        <w:rPr>
          <w:rFonts w:ascii="Arial" w:cs="Arial" w:eastAsia="Arial" w:hAnsi="Arial"/>
          <w:sz w:val="22"/>
          <w:szCs w:val="22"/>
        </w:rPr>
      </w:pPr>
      <w:bookmarkStart w:colFirst="0" w:colLast="0" w:name="_30j0zll" w:id="1"/>
      <w:bookmarkEnd w:id="1"/>
      <w:r w:rsidDel="00000000" w:rsidR="00000000" w:rsidRPr="00000000">
        <w:rPr>
          <w:rFonts w:ascii="Arial" w:cs="Arial" w:eastAsia="Arial" w:hAnsi="Arial"/>
          <w:b w:val="1"/>
          <w:i w:val="1"/>
          <w:sz w:val="22"/>
          <w:szCs w:val="22"/>
          <w:rtl w:val="0"/>
        </w:rPr>
        <w:t xml:space="preserve">„</w:t>
      </w:r>
      <w:r w:rsidDel="00000000" w:rsidR="00000000" w:rsidRPr="00000000">
        <w:rPr>
          <w:b w:val="1"/>
          <w:rtl w:val="0"/>
        </w:rPr>
        <w:t xml:space="preserve">BUDOWA BUDYNKU MIESZKALNEGO WIELORODZINNEGO ZLOKALIZOWANEGO W SZCZEKOCINACHPRZY UL. POLNEJ </w:t>
      </w:r>
      <w:r w:rsidDel="00000000" w:rsidR="00000000" w:rsidRPr="00000000">
        <w:rPr>
          <w:rFonts w:ascii="Calibri" w:cs="Calibri" w:eastAsia="Calibri" w:hAnsi="Calibri"/>
          <w:b w:val="1"/>
          <w:sz w:val="22"/>
          <w:szCs w:val="22"/>
          <w:rtl w:val="0"/>
        </w:rPr>
        <w:t xml:space="preserve">– powtórzone postępowanie</w:t>
      </w:r>
      <w:r w:rsidDel="00000000" w:rsidR="00000000" w:rsidRPr="00000000">
        <w:rPr>
          <w:rFonts w:ascii="Arial" w:cs="Arial" w:eastAsia="Arial" w:hAnsi="Arial"/>
          <w:b w:val="1"/>
          <w:i w:val="1"/>
          <w:sz w:val="22"/>
          <w:szCs w:val="22"/>
          <w:rtl w:val="0"/>
        </w:rPr>
        <w:t xml:space="preserve">”</w:t>
      </w:r>
      <w:r w:rsidDel="00000000" w:rsidR="00000000" w:rsidRPr="00000000">
        <w:rPr>
          <w:rtl w:val="0"/>
        </w:rPr>
      </w:r>
    </w:p>
    <w:p w:rsidR="00000000" w:rsidDel="00000000" w:rsidP="00000000" w:rsidRDefault="00000000" w:rsidRPr="00000000" w14:paraId="0000000D">
      <w:pPr>
        <w:spacing w:after="0" w:line="240" w:lineRule="auto"/>
        <w:ind w:left="1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after="0" w:line="240" w:lineRule="auto"/>
        <w:ind w:left="1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spacing w:after="0" w:line="240" w:lineRule="auto"/>
        <w:ind w:left="1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spacing w:after="0" w:line="240" w:lineRule="auto"/>
        <w:ind w:left="1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spacing w:after="0" w:line="240" w:lineRule="auto"/>
        <w:ind w:left="1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tabs>
          <w:tab w:val="center" w:leader="none" w:pos="6394"/>
        </w:tabs>
        <w:spacing w:after="0" w:line="240" w:lineRule="auto"/>
        <w:ind w:left="-5" w:firstLine="0"/>
        <w:jc w:val="left"/>
        <w:rPr>
          <w:rFonts w:ascii="Arial" w:cs="Arial" w:eastAsia="Arial" w:hAnsi="Arial"/>
          <w:sz w:val="22"/>
          <w:szCs w:val="22"/>
        </w:rPr>
      </w:pPr>
      <w:r w:rsidDel="00000000" w:rsidR="00000000" w:rsidRPr="00000000">
        <w:rPr>
          <w:rtl w:val="0"/>
        </w:rPr>
      </w:r>
    </w:p>
    <w:tbl>
      <w:tblPr>
        <w:tblStyle w:val="Table1"/>
        <w:tblW w:w="9130.0" w:type="dxa"/>
        <w:jc w:val="left"/>
        <w:tblInd w:w="10.0" w:type="dxa"/>
        <w:tblLayout w:type="fixed"/>
        <w:tblLook w:val="0400"/>
      </w:tblPr>
      <w:tblGrid>
        <w:gridCol w:w="3148"/>
        <w:gridCol w:w="5982"/>
        <w:tblGridChange w:id="0">
          <w:tblGrid>
            <w:gridCol w:w="3148"/>
            <w:gridCol w:w="5982"/>
          </w:tblGrid>
        </w:tblGridChange>
      </w:tblGrid>
      <w:tr>
        <w:trPr>
          <w:cantSplit w:val="0"/>
          <w:trHeight w:val="550" w:hRule="atLeast"/>
          <w:tblHeader w:val="0"/>
        </w:trPr>
        <w:tc>
          <w:tcPr/>
          <w:p w:rsidR="00000000" w:rsidDel="00000000" w:rsidP="00000000" w:rsidRDefault="00000000" w:rsidRPr="00000000" w14:paraId="00000013">
            <w:pPr>
              <w:widowControl w:val="0"/>
              <w:spacing w:after="0" w:line="240" w:lineRule="auto"/>
              <w:ind w:left="0" w:firstLine="0"/>
              <w:jc w:val="left"/>
              <w:rPr>
                <w:rFonts w:ascii="Arial" w:cs="Arial" w:eastAsia="Arial" w:hAnsi="Arial"/>
                <w:sz w:val="22"/>
                <w:szCs w:val="22"/>
              </w:rPr>
            </w:pPr>
            <w:r w:rsidDel="00000000" w:rsidR="00000000" w:rsidRPr="00000000">
              <w:rPr>
                <w:rFonts w:ascii="Arial" w:cs="Arial" w:eastAsia="Arial" w:hAnsi="Arial"/>
                <w:b w:val="1"/>
                <w:sz w:val="22"/>
                <w:szCs w:val="22"/>
                <w:u w:val="single"/>
                <w:rtl w:val="0"/>
              </w:rPr>
              <w:t xml:space="preserve">Zamawiający:</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014">
            <w:pPr>
              <w:widowControl w:val="0"/>
              <w:spacing w:after="0" w:line="240" w:lineRule="auto"/>
              <w:ind w:left="1070" w:right="53" w:firstLine="0"/>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SIM Zagłębie</w:t>
            </w:r>
          </w:p>
          <w:p w:rsidR="00000000" w:rsidDel="00000000" w:rsidP="00000000" w:rsidRDefault="00000000" w:rsidRPr="00000000" w14:paraId="00000015">
            <w:pPr>
              <w:widowControl w:val="0"/>
              <w:spacing w:after="0" w:line="240" w:lineRule="auto"/>
              <w:ind w:left="1070" w:right="53" w:firstLine="0"/>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Spółka z ograniczoną odpowiedzialnością</w:t>
            </w:r>
          </w:p>
          <w:p w:rsidR="00000000" w:rsidDel="00000000" w:rsidP="00000000" w:rsidRDefault="00000000" w:rsidRPr="00000000" w14:paraId="00000016">
            <w:pPr>
              <w:widowControl w:val="0"/>
              <w:spacing w:after="0" w:line="240" w:lineRule="auto"/>
              <w:ind w:left="1070" w:right="53" w:firstLine="0"/>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z siedzibą w Sosnowcu,</w:t>
            </w:r>
          </w:p>
          <w:p w:rsidR="00000000" w:rsidDel="00000000" w:rsidP="00000000" w:rsidRDefault="00000000" w:rsidRPr="00000000" w14:paraId="00000017">
            <w:pPr>
              <w:widowControl w:val="0"/>
              <w:spacing w:after="0" w:line="240" w:lineRule="auto"/>
              <w:ind w:left="1070" w:right="53" w:firstLine="0"/>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ul. Wojska Polskiego 8/2.21,</w:t>
            </w:r>
          </w:p>
          <w:p w:rsidR="00000000" w:rsidDel="00000000" w:rsidP="00000000" w:rsidRDefault="00000000" w:rsidRPr="00000000" w14:paraId="00000018">
            <w:pPr>
              <w:widowControl w:val="0"/>
              <w:spacing w:after="0" w:line="240" w:lineRule="auto"/>
              <w:ind w:left="1070" w:firstLine="0"/>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41-208 Sosnowiec</w:t>
            </w:r>
          </w:p>
        </w:tc>
      </w:tr>
      <w:tr>
        <w:trPr>
          <w:cantSplit w:val="0"/>
          <w:trHeight w:val="550" w:hRule="atLeast"/>
          <w:tblHeader w:val="0"/>
        </w:trPr>
        <w:tc>
          <w:tcPr/>
          <w:p w:rsidR="00000000" w:rsidDel="00000000" w:rsidP="00000000" w:rsidRDefault="00000000" w:rsidRPr="00000000" w14:paraId="00000019">
            <w:pPr>
              <w:widowControl w:val="0"/>
              <w:spacing w:after="0" w:line="240" w:lineRule="auto"/>
              <w:ind w:left="0" w:firstLine="0"/>
              <w:jc w:val="left"/>
              <w:rPr>
                <w:rFonts w:ascii="Arial" w:cs="Arial" w:eastAsia="Arial" w:hAnsi="Arial"/>
                <w:b w:val="1"/>
                <w:sz w:val="22"/>
                <w:szCs w:val="22"/>
                <w:u w:val="single"/>
              </w:rPr>
            </w:pPr>
            <w:r w:rsidDel="00000000" w:rsidR="00000000" w:rsidRPr="00000000">
              <w:rPr>
                <w:rtl w:val="0"/>
              </w:rPr>
            </w:r>
          </w:p>
        </w:tc>
        <w:tc>
          <w:tcPr/>
          <w:p w:rsidR="00000000" w:rsidDel="00000000" w:rsidP="00000000" w:rsidRDefault="00000000" w:rsidRPr="00000000" w14:paraId="0000001A">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B">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C">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D">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E">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F">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0">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1">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2">
            <w:pPr>
              <w:widowControl w:val="0"/>
              <w:spacing w:after="0" w:line="240" w:lineRule="auto"/>
              <w:ind w:left="0" w:right="168" w:firstLine="0"/>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3">
            <w:pPr>
              <w:widowControl w:val="0"/>
              <w:spacing w:after="0" w:line="240" w:lineRule="auto"/>
              <w:ind w:left="0" w:right="168" w:firstLine="0"/>
              <w:jc w:val="center"/>
              <w:rPr>
                <w:rFonts w:ascii="Arial" w:cs="Arial" w:eastAsia="Arial" w:hAnsi="Arial"/>
                <w:sz w:val="22"/>
                <w:szCs w:val="22"/>
              </w:rPr>
            </w:pPr>
            <w:r w:rsidDel="00000000" w:rsidR="00000000" w:rsidRPr="00000000">
              <w:rPr>
                <w:rFonts w:ascii="Arial" w:cs="Arial" w:eastAsia="Arial" w:hAnsi="Arial"/>
                <w:i w:val="1"/>
                <w:sz w:val="22"/>
                <w:szCs w:val="22"/>
                <w:rtl w:val="0"/>
              </w:rPr>
              <w:t xml:space="preserve">Zatwierdził:</w:t>
            </w:r>
            <w:r w:rsidDel="00000000" w:rsidR="00000000" w:rsidRPr="00000000">
              <w:rPr>
                <w:rtl w:val="0"/>
              </w:rPr>
            </w:r>
          </w:p>
          <w:p w:rsidR="00000000" w:rsidDel="00000000" w:rsidP="00000000" w:rsidRDefault="00000000" w:rsidRPr="00000000" w14:paraId="00000024">
            <w:pPr>
              <w:widowControl w:val="0"/>
              <w:spacing w:after="0" w:line="240" w:lineRule="auto"/>
              <w:ind w:left="0" w:right="118"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5">
            <w:pPr>
              <w:widowControl w:val="0"/>
              <w:spacing w:after="0" w:line="240" w:lineRule="auto"/>
              <w:ind w:left="0" w:right="118"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widowControl w:val="0"/>
              <w:spacing w:after="0" w:line="240" w:lineRule="auto"/>
              <w:ind w:left="0" w:right="118"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widowControl w:val="0"/>
              <w:spacing w:after="0" w:line="240" w:lineRule="auto"/>
              <w:jc w:val="center"/>
              <w:rPr>
                <w:rFonts w:ascii="Arial" w:cs="Arial" w:eastAsia="Arial" w:hAnsi="Arial"/>
                <w:sz w:val="22"/>
                <w:szCs w:val="22"/>
              </w:rPr>
            </w:pPr>
            <w:r w:rsidDel="00000000" w:rsidR="00000000" w:rsidRPr="00000000">
              <w:rPr>
                <w:rFonts w:ascii="Arial" w:cs="Arial" w:eastAsia="Arial" w:hAnsi="Arial"/>
                <w:b w:val="1"/>
                <w:i w:val="1"/>
                <w:sz w:val="22"/>
                <w:szCs w:val="22"/>
                <w:rtl w:val="0"/>
              </w:rPr>
              <w:t xml:space="preserve">………………………………..</w:t>
            </w:r>
            <w:r w:rsidDel="00000000" w:rsidR="00000000" w:rsidRPr="00000000">
              <w:rPr>
                <w:rtl w:val="0"/>
              </w:rPr>
            </w:r>
          </w:p>
        </w:tc>
      </w:tr>
    </w:tbl>
    <w:p w:rsidR="00000000" w:rsidDel="00000000" w:rsidP="00000000" w:rsidRDefault="00000000" w:rsidRPr="00000000" w14:paraId="00000028">
      <w:pPr>
        <w:spacing w:after="0" w:line="240" w:lineRule="auto"/>
        <w:ind w:left="16"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spacing w:after="0" w:line="240" w:lineRule="auto"/>
        <w:ind w:left="16"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spacing w:after="0" w:line="240" w:lineRule="auto"/>
        <w:ind w:left="16"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spacing w:after="0" w:line="240" w:lineRule="auto"/>
        <w:ind w:left="16"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spacing w:after="0" w:line="240" w:lineRule="auto"/>
        <w:ind w:left="16"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spacing w:after="0" w:line="240" w:lineRule="auto"/>
        <w:ind w:left="1717" w:right="1742" w:firstLine="1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Sosnowiec, dnia 13.06.2024r.</w:t>
      </w:r>
    </w:p>
    <w:p w:rsidR="00000000" w:rsidDel="00000000" w:rsidP="00000000" w:rsidRDefault="00000000" w:rsidRPr="00000000" w14:paraId="0000002E">
      <w:pPr>
        <w:spacing w:after="0" w:line="240" w:lineRule="auto"/>
        <w:ind w:left="1717" w:right="1742" w:firstLine="1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F">
      <w:pPr>
        <w:spacing w:after="0" w:line="240" w:lineRule="auto"/>
        <w:ind w:left="1717" w:right="1742" w:firstLine="1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0">
      <w:pPr>
        <w:spacing w:after="0" w:line="240" w:lineRule="auto"/>
        <w:ind w:left="1717" w:right="1742" w:firstLine="1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1">
      <w:pPr>
        <w:spacing w:after="0" w:line="240" w:lineRule="auto"/>
        <w:ind w:left="0" w:firstLine="0"/>
        <w:jc w:val="left"/>
        <w:rPr>
          <w:rFonts w:ascii="Arial" w:cs="Arial" w:eastAsia="Arial" w:hAnsi="Arial"/>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32"/>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Nazwa oraz adres zamawiającego, numer telefonu, adres poczty elektronicznej oraz strony internetowej prowadzonego postępowania:</w:t>
      </w:r>
    </w:p>
    <w:p w:rsidR="00000000" w:rsidDel="00000000" w:rsidP="00000000" w:rsidRDefault="00000000" w:rsidRPr="00000000" w14:paraId="00000033">
      <w:pPr>
        <w:spacing w:after="0" w:line="240" w:lineRule="auto"/>
        <w:ind w:left="426" w:right="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SIM Zagłębie Spółka z ograniczoną odpowiedzialnością z siedzibą w Sosnowcu,</w:t>
      </w:r>
    </w:p>
    <w:p w:rsidR="00000000" w:rsidDel="00000000" w:rsidP="00000000" w:rsidRDefault="00000000" w:rsidRPr="00000000" w14:paraId="00000034">
      <w:pPr>
        <w:spacing w:after="0" w:line="240" w:lineRule="auto"/>
        <w:ind w:left="426" w:right="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ul. Wojska Polskiego 8/2.21,</w:t>
      </w:r>
    </w:p>
    <w:p w:rsidR="00000000" w:rsidDel="00000000" w:rsidP="00000000" w:rsidRDefault="00000000" w:rsidRPr="00000000" w14:paraId="00000035">
      <w:pPr>
        <w:spacing w:after="0" w:line="240" w:lineRule="auto"/>
        <w:ind w:left="426" w:right="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41-208 Sosnowiec,</w:t>
      </w:r>
    </w:p>
    <w:p w:rsidR="00000000" w:rsidDel="00000000" w:rsidP="00000000" w:rsidRDefault="00000000" w:rsidRPr="00000000" w14:paraId="00000036">
      <w:pPr>
        <w:spacing w:after="0" w:line="240" w:lineRule="auto"/>
        <w:ind w:left="426" w:right="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tel.: +48 500 408 604,</w:t>
      </w:r>
    </w:p>
    <w:p w:rsidR="00000000" w:rsidDel="00000000" w:rsidP="00000000" w:rsidRDefault="00000000" w:rsidRPr="00000000" w14:paraId="00000037">
      <w:pPr>
        <w:spacing w:after="0" w:line="240" w:lineRule="auto"/>
        <w:ind w:left="426" w:right="33" w:firstLine="10"/>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ogólny adres poczty elektronicznej: </w:t>
      </w:r>
      <w:hyperlink r:id="rId6">
        <w:r w:rsidDel="00000000" w:rsidR="00000000" w:rsidRPr="00000000">
          <w:rPr>
            <w:rFonts w:ascii="Arial" w:cs="Arial" w:eastAsia="Arial" w:hAnsi="Arial"/>
            <w:color w:val="0563c1"/>
            <w:sz w:val="22"/>
            <w:szCs w:val="22"/>
            <w:u w:val="single"/>
            <w:rtl w:val="0"/>
          </w:rPr>
          <w:t xml:space="preserve">zamowienia@simzaglebie.pl</w:t>
        </w:r>
      </w:hyperlink>
      <w:r w:rsidDel="00000000" w:rsidR="00000000" w:rsidRPr="00000000">
        <w:rPr>
          <w:rFonts w:ascii="Arial" w:cs="Arial" w:eastAsia="Arial" w:hAnsi="Arial"/>
          <w:color w:val="000000"/>
          <w:sz w:val="22"/>
          <w:szCs w:val="22"/>
          <w:u w:val="single"/>
          <w:rtl w:val="0"/>
        </w:rPr>
        <w:t xml:space="preserve">,</w:t>
      </w:r>
      <w:r w:rsidDel="00000000" w:rsidR="00000000" w:rsidRPr="00000000">
        <w:rPr>
          <w:rtl w:val="0"/>
        </w:rPr>
      </w:r>
    </w:p>
    <w:p w:rsidR="00000000" w:rsidDel="00000000" w:rsidP="00000000" w:rsidRDefault="00000000" w:rsidRPr="00000000" w14:paraId="00000038">
      <w:pPr>
        <w:spacing w:after="0" w:line="240" w:lineRule="auto"/>
        <w:ind w:left="426"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adres ogólny internetowy: </w:t>
      </w:r>
      <w:r w:rsidDel="00000000" w:rsidR="00000000" w:rsidRPr="00000000">
        <w:rPr>
          <w:rFonts w:ascii="Arial" w:cs="Arial" w:eastAsia="Arial" w:hAnsi="Arial"/>
          <w:color w:val="0000ff"/>
          <w:sz w:val="22"/>
          <w:szCs w:val="22"/>
          <w:u w:val="single"/>
          <w:rtl w:val="0"/>
        </w:rPr>
        <w:t xml:space="preserve">https://simzaglebie.pl</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39">
      <w:pPr>
        <w:spacing w:after="0" w:line="240" w:lineRule="auto"/>
        <w:ind w:left="426" w:right="33"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postępowanie prowadzone przy pomocy Platformy Zakupowej:</w:t>
      </w:r>
    </w:p>
    <w:p w:rsidR="00000000" w:rsidDel="00000000" w:rsidP="00000000" w:rsidRDefault="00000000" w:rsidRPr="00000000" w14:paraId="0000003A">
      <w:pPr>
        <w:spacing w:after="0" w:line="240" w:lineRule="auto"/>
        <w:ind w:left="426" w:right="33" w:firstLine="10"/>
        <w:rPr>
          <w:rFonts w:ascii="Arial" w:cs="Arial" w:eastAsia="Arial" w:hAnsi="Arial"/>
          <w:color w:val="0563c1"/>
          <w:sz w:val="22"/>
          <w:szCs w:val="22"/>
          <w:u w:val="none"/>
        </w:rPr>
      </w:pPr>
      <w:r w:rsidDel="00000000" w:rsidR="00000000" w:rsidRPr="00000000">
        <w:rPr>
          <w:rFonts w:ascii="Arial" w:cs="Arial" w:eastAsia="Arial" w:hAnsi="Arial"/>
          <w:sz w:val="22"/>
          <w:szCs w:val="22"/>
          <w:rtl w:val="0"/>
        </w:rPr>
        <w:t xml:space="preserve">- adres strony internetowej, na której udostępniane będą zmiany i wyjaśnienia treści SWZ oraz inne dokumenty zamówienia bezpośrednio związane z postępowaniem o udzielenie zamówienia: </w:t>
      </w:r>
      <w:hyperlink r:id="rId7">
        <w:r w:rsidDel="00000000" w:rsidR="00000000" w:rsidRPr="00000000">
          <w:rPr>
            <w:rFonts w:ascii="Arial" w:cs="Arial" w:eastAsia="Arial" w:hAnsi="Arial"/>
            <w:color w:val="0563c1"/>
            <w:sz w:val="22"/>
            <w:szCs w:val="22"/>
            <w:u w:val="single"/>
            <w:rtl w:val="0"/>
          </w:rPr>
          <w:t xml:space="preserve">https://platformazakupowa.pl/pn/sim_zaglebie</w:t>
        </w:r>
      </w:hyperlink>
      <w:r w:rsidDel="00000000" w:rsidR="00000000" w:rsidRPr="00000000">
        <w:rPr>
          <w:rFonts w:ascii="Arial" w:cs="Arial" w:eastAsia="Arial" w:hAnsi="Arial"/>
          <w:color w:val="000000"/>
          <w:sz w:val="22"/>
          <w:szCs w:val="22"/>
          <w:u w:val="none"/>
          <w:rtl w:val="0"/>
        </w:rPr>
        <w:t xml:space="preserve">,</w:t>
      </w:r>
      <w:r w:rsidDel="00000000" w:rsidR="00000000" w:rsidRPr="00000000">
        <w:rPr>
          <w:rtl w:val="0"/>
        </w:rPr>
      </w:r>
    </w:p>
    <w:p w:rsidR="00000000" w:rsidDel="00000000" w:rsidP="00000000" w:rsidRDefault="00000000" w:rsidRPr="00000000" w14:paraId="0000003B">
      <w:pPr>
        <w:spacing w:after="0" w:line="240" w:lineRule="auto"/>
        <w:ind w:left="426" w:right="33"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 adres strony internetowej prowadzonego postępowania:</w:t>
      </w:r>
    </w:p>
    <w:p w:rsidR="00000000" w:rsidDel="00000000" w:rsidP="00000000" w:rsidRDefault="00000000" w:rsidRPr="00000000" w14:paraId="0000003C">
      <w:pPr>
        <w:spacing w:after="0" w:line="240" w:lineRule="auto"/>
        <w:ind w:left="426" w:right="33" w:firstLine="0"/>
        <w:rPr>
          <w:rFonts w:ascii="Arial" w:cs="Arial" w:eastAsia="Arial" w:hAnsi="Arial"/>
          <w:sz w:val="22"/>
          <w:szCs w:val="22"/>
        </w:rPr>
      </w:pPr>
      <w:hyperlink r:id="rId8">
        <w:r w:rsidDel="00000000" w:rsidR="00000000" w:rsidRPr="00000000">
          <w:rPr>
            <w:rFonts w:ascii="Arial" w:cs="Arial" w:eastAsia="Arial" w:hAnsi="Arial"/>
            <w:color w:val="0563c1"/>
            <w:sz w:val="22"/>
            <w:szCs w:val="22"/>
            <w:u w:val="single"/>
            <w:rtl w:val="0"/>
          </w:rPr>
          <w:t xml:space="preserve">https://platformazakupowa.pl/transakcja/940254</w:t>
        </w:r>
      </w:hyperlink>
      <w:r w:rsidDel="00000000" w:rsidR="00000000" w:rsidRPr="00000000">
        <w:rPr>
          <w:rtl w:val="0"/>
        </w:rPr>
      </w:r>
    </w:p>
    <w:p w:rsidR="00000000" w:rsidDel="00000000" w:rsidP="00000000" w:rsidRDefault="00000000" w:rsidRPr="00000000" w14:paraId="0000003D">
      <w:pPr>
        <w:spacing w:after="0" w:line="240" w:lineRule="auto"/>
        <w:ind w:left="426" w:right="33"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spacing w:after="0" w:line="240" w:lineRule="auto"/>
        <w:ind w:left="426" w:right="33" w:firstLine="0"/>
        <w:rPr>
          <w:rFonts w:ascii="Arial" w:cs="Arial" w:eastAsia="Arial" w:hAnsi="Arial"/>
          <w:b w:val="1"/>
          <w:sz w:val="22"/>
          <w:szCs w:val="22"/>
        </w:rPr>
      </w:pPr>
      <w:r w:rsidDel="00000000" w:rsidR="00000000" w:rsidRPr="00000000">
        <w:rPr>
          <w:rFonts w:ascii="Arial" w:cs="Arial" w:eastAsia="Arial" w:hAnsi="Arial"/>
          <w:b w:val="1"/>
          <w:sz w:val="22"/>
          <w:szCs w:val="22"/>
        </w:rPr>
        <mc:AlternateContent>
          <mc:Choice Requires="wps">
            <w:drawing>
              <wp:anchor allowOverlap="1" behindDoc="0" distB="0" distT="0" distL="114300" distR="114300" hidden="0" layoutInCell="1" locked="0" relativeHeight="0" simplePos="0">
                <wp:simplePos x="0" y="0"/>
                <wp:positionH relativeFrom="page">
                  <wp:posOffset>882650</wp:posOffset>
                </wp:positionH>
                <wp:positionV relativeFrom="page">
                  <wp:posOffset>10068560</wp:posOffset>
                </wp:positionV>
                <wp:extent cx="5798160" cy="9000"/>
                <wp:effectExtent b="0" l="0" r="0" t="0"/>
                <wp:wrapTopAndBottom distB="0" distT="0"/>
                <wp:docPr id="1" name=""/>
                <a:graphic>
                  <a:graphicData uri="http://schemas.microsoft.com/office/word/2010/wordprocessingGroup">
                    <wpg:wgp>
                      <wpg:cNvGrpSpPr/>
                      <wpg:grpSpPr>
                        <a:xfrm>
                          <a:off x="0" y="0"/>
                          <a:ext cx="5798160" cy="9000"/>
                          <a:chOff x="882720" y="10068480"/>
                          <a:chExt cx="5798160" cy="9000"/>
                        </a:xfrm>
                      </wpg:grpSpPr>
                      <wps:wsp>
                        <wps:cNvSpPr/>
                        <wps:cNvPr id="4" name="Dowolny kształt: kształt 4"/>
                        <wps:spPr>
                          <a:xfrm>
                            <a:off x="0" y="0"/>
                            <a:ext cx="5798160" cy="9000"/>
                          </a:xfrm>
                          <a:custGeom>
                            <a:avLst/>
                            <a:gdLst/>
                            <a:ahLst/>
                            <a:cxnLst/>
                            <a:rect b="b" l="l" r="r" t="t"/>
                            <a:pathLst>
                              <a:path h="9144" w="5795772">
                                <a:moveTo>
                                  <a:pt x="0" y="0"/>
                                </a:moveTo>
                                <a:lnTo>
                                  <a:pt x="5795772" y="0"/>
                                </a:lnTo>
                                <a:lnTo>
                                  <a:pt x="5795772" y="9144"/>
                                </a:lnTo>
                                <a:lnTo>
                                  <a:pt x="0" y="9144"/>
                                </a:lnTo>
                                <a:lnTo>
                                  <a:pt x="0" y="0"/>
                                </a:lnTo>
                              </a:path>
                            </a:pathLst>
                          </a:custGeom>
                          <a:solidFill>
                            <a:srgbClr val="000000"/>
                          </a:solidFill>
                          <a:ln>
                            <a:noFill/>
                          </a:ln>
                        </wps:spPr>
                        <wps:style>
                          <a:lnRef idx="0">
                            <a:scrgbClr b="0" g="0" r="0"/>
                          </a:lnRef>
                          <a:fillRef idx="0">
                            <a:scrgbClr b="0" g="0" r="0"/>
                          </a:fillRef>
                          <a:effectRef idx="0">
                            <a:scrgbClr b="0" g="0" r="0"/>
                          </a:effectRef>
                          <a:fontRef idx="minor"/>
                        </wps:style>
                        <wps:bodyPr/>
                      </wps:wsp>
                    </wpg:wgp>
                  </a:graphicData>
                </a:graphic>
              </wp:anchor>
            </w:drawing>
          </mc:Choice>
          <mc:Fallback>
            <w:drawing>
              <wp:anchor allowOverlap="1" behindDoc="0" distB="0" distT="0" distL="114300" distR="114300" hidden="0" layoutInCell="1" locked="0" relativeHeight="0" simplePos="0">
                <wp:simplePos x="0" y="0"/>
                <wp:positionH relativeFrom="page">
                  <wp:posOffset>882650</wp:posOffset>
                </wp:positionH>
                <wp:positionV relativeFrom="page">
                  <wp:posOffset>10068560</wp:posOffset>
                </wp:positionV>
                <wp:extent cx="5798160" cy="90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798160" cy="9000"/>
                        </a:xfrm>
                        <a:prstGeom prst="rect"/>
                        <a:ln/>
                      </pic:spPr>
                    </pic:pic>
                  </a:graphicData>
                </a:graphic>
              </wp:anchor>
            </w:drawing>
          </mc:Fallback>
        </mc:AlternateContent>
      </w:r>
      <w:r w:rsidDel="00000000" w:rsidR="00000000" w:rsidRPr="00000000">
        <w:rPr>
          <w:rFonts w:ascii="Arial" w:cs="Arial" w:eastAsia="Arial" w:hAnsi="Arial"/>
          <w:b w:val="1"/>
          <w:sz w:val="22"/>
          <w:szCs w:val="22"/>
          <w:rtl w:val="0"/>
        </w:rPr>
        <w:t xml:space="preserve">Informacja dotycząca przetwarzania danych osobowych:</w:t>
      </w:r>
    </w:p>
    <w:p w:rsidR="00000000" w:rsidDel="00000000" w:rsidP="00000000" w:rsidRDefault="00000000" w:rsidRPr="00000000" w14:paraId="0000003F">
      <w:pPr>
        <w:spacing w:after="0" w:line="240" w:lineRule="auto"/>
        <w:ind w:left="426" w:right="3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000000" w:rsidDel="00000000" w:rsidP="00000000" w:rsidRDefault="00000000" w:rsidRPr="00000000" w14:paraId="00000040">
      <w:pPr>
        <w:numPr>
          <w:ilvl w:val="0"/>
          <w:numId w:val="2"/>
        </w:numPr>
        <w:spacing w:after="0" w:line="240" w:lineRule="auto"/>
        <w:ind w:left="851" w:right="10" w:hanging="425"/>
        <w:rPr/>
      </w:pPr>
      <w:r w:rsidDel="00000000" w:rsidR="00000000" w:rsidRPr="00000000">
        <w:rPr>
          <w:rFonts w:ascii="Arial" w:cs="Arial" w:eastAsia="Arial" w:hAnsi="Arial"/>
          <w:sz w:val="22"/>
          <w:szCs w:val="22"/>
          <w:rtl w:val="0"/>
        </w:rPr>
        <w:t xml:space="preserve">administratorem Pani/Pana danych osobowych jest SIM Zagłębie Sp. z o.o. z siedzibą w Sosnowcu przy ul. Wojska Polskiego 8/2.21,41-208 Sosnowiec, REGON: 52070357800000, NIP: 644-356-42-71,</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51" w:right="10" w:hanging="425"/>
        <w:jc w:val="both"/>
        <w:rPr>
          <w:smallCaps w:val="0"/>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administrator wyznaczył Inspektora Ochrony Danych, z którym może się Pani/Pan skontaktować w sprawach związanych z ochroną danych osobowych pod adresem e- mail:</w:t>
      </w:r>
      <w:r w:rsidDel="00000000" w:rsidR="00000000" w:rsidRPr="00000000">
        <w:rPr>
          <w:rFonts w:ascii="Arial" w:cs="Arial" w:eastAsia="Arial" w:hAnsi="Arial"/>
          <w:b w:val="1"/>
          <w:i w:val="0"/>
          <w:smallCaps w:val="0"/>
          <w:strike w:val="0"/>
          <w:color w:val="0563c1"/>
          <w:sz w:val="22"/>
          <w:szCs w:val="22"/>
          <w:u w:val="single"/>
          <w:shd w:fill="auto" w:val="clear"/>
          <w:vertAlign w:val="baseline"/>
          <w:rtl w:val="0"/>
        </w:rPr>
        <w:t xml:space="preserve"> </w:t>
      </w:r>
      <w:hyperlink r:id="rId10">
        <w:r w:rsidDel="00000000" w:rsidR="00000000" w:rsidRPr="00000000">
          <w:rPr>
            <w:rFonts w:ascii="Arial" w:cs="Arial" w:eastAsia="Arial" w:hAnsi="Arial"/>
            <w:b w:val="1"/>
            <w:i w:val="0"/>
            <w:smallCaps w:val="0"/>
            <w:strike w:val="0"/>
            <w:color w:val="0563c1"/>
            <w:sz w:val="22"/>
            <w:szCs w:val="22"/>
            <w:u w:val="single"/>
            <w:shd w:fill="auto" w:val="clear"/>
            <w:vertAlign w:val="baseline"/>
            <w:rtl w:val="0"/>
          </w:rPr>
          <w:t xml:space="preserve">iod@simzaglebie.pl</w:t>
        </w:r>
      </w:hyperlink>
      <w:r w:rsidDel="00000000" w:rsidR="00000000" w:rsidRPr="00000000">
        <w:rPr>
          <w:rFonts w:ascii="Arial" w:cs="Arial" w:eastAsia="Arial" w:hAnsi="Arial"/>
          <w:b w:val="1"/>
          <w:i w:val="0"/>
          <w:smallCaps w:val="0"/>
          <w:strike w:val="0"/>
          <w:color w:val="0563c1"/>
          <w:sz w:val="22"/>
          <w:szCs w:val="22"/>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lub w postaci papierowej na adres siedziby administratora,</w:t>
      </w:r>
    </w:p>
    <w:p w:rsidR="00000000" w:rsidDel="00000000" w:rsidP="00000000" w:rsidRDefault="00000000" w:rsidRPr="00000000" w14:paraId="00000042">
      <w:pPr>
        <w:numPr>
          <w:ilvl w:val="0"/>
          <w:numId w:val="2"/>
        </w:numPr>
        <w:spacing w:after="0" w:line="240" w:lineRule="auto"/>
        <w:ind w:left="851" w:right="10" w:hanging="425"/>
        <w:rPr/>
      </w:pPr>
      <w:r w:rsidDel="00000000" w:rsidR="00000000" w:rsidRPr="00000000">
        <w:rPr>
          <w:rFonts w:ascii="Arial" w:cs="Arial" w:eastAsia="Arial" w:hAnsi="Arial"/>
          <w:sz w:val="22"/>
          <w:szCs w:val="22"/>
          <w:rtl w:val="0"/>
        </w:rPr>
        <w:t xml:space="preserve">Pani/Pana dane osobowe przetwarzane będą na podstawie art. 6 ust. 1 lit. c RODO w związku z przepisami ustawy Pzp celu związanym z przeprowadzeniem przedmiotowego postępowania o udzielenie zamówienia publicznego oraz jego rozstrzygnięcia, jak również zawarcia umowy oraz archiwizacji,</w:t>
      </w:r>
    </w:p>
    <w:p w:rsidR="00000000" w:rsidDel="00000000" w:rsidP="00000000" w:rsidRDefault="00000000" w:rsidRPr="00000000" w14:paraId="00000043">
      <w:pPr>
        <w:numPr>
          <w:ilvl w:val="0"/>
          <w:numId w:val="2"/>
        </w:numPr>
        <w:spacing w:after="0" w:line="240" w:lineRule="auto"/>
        <w:ind w:left="851" w:right="10" w:hanging="425"/>
        <w:rPr/>
      </w:pPr>
      <w:r w:rsidDel="00000000" w:rsidR="00000000" w:rsidRPr="00000000">
        <w:rPr>
          <w:rFonts w:ascii="Arial" w:cs="Arial" w:eastAsia="Arial" w:hAnsi="Arial"/>
          <w:sz w:val="22"/>
          <w:szCs w:val="22"/>
          <w:rtl w:val="0"/>
        </w:rPr>
        <w:t xml:space="preserve">odbiorcami Pani/Pana danych osobowych będą osoby lub podmioty, którym udostępniona zostanie dokumentacja postępowania w oparciu o art. 18 oraz art. 74 ustawy Pzp, firma Open Nexus Sp. z o.o. Bolesława Krzywoustego 3, 61-144 Poznań z która administrator zawarł umowę na obsługę platformy zakupowej, na której prowadzone są postępowania o udzielenie zamówienia publicznego, podmiot uprawniony do obsługi doręczeń (poczta Polska S.A.) oraz podmioty wspierające administratora w wypełnianiu uprawnień i obowiązków oraz świadczeniu usług, w tym zapewniających asystę i wsparcie techniczne dla użytkowanych systemów informatycznych,</w:t>
      </w:r>
    </w:p>
    <w:p w:rsidR="00000000" w:rsidDel="00000000" w:rsidP="00000000" w:rsidRDefault="00000000" w:rsidRPr="00000000" w14:paraId="00000044">
      <w:pPr>
        <w:numPr>
          <w:ilvl w:val="0"/>
          <w:numId w:val="2"/>
        </w:numPr>
        <w:spacing w:after="0" w:line="240" w:lineRule="auto"/>
        <w:ind w:left="851" w:right="10" w:hanging="425"/>
        <w:rPr/>
      </w:pPr>
      <w:r w:rsidDel="00000000" w:rsidR="00000000" w:rsidRPr="00000000">
        <w:rPr>
          <w:rFonts w:ascii="Arial" w:cs="Arial" w:eastAsia="Arial" w:hAnsi="Arial"/>
          <w:sz w:val="22"/>
          <w:szCs w:val="22"/>
          <w:rtl w:val="0"/>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rsidR="00000000" w:rsidDel="00000000" w:rsidP="00000000" w:rsidRDefault="00000000" w:rsidRPr="00000000" w14:paraId="00000045">
      <w:pPr>
        <w:numPr>
          <w:ilvl w:val="0"/>
          <w:numId w:val="2"/>
        </w:numPr>
        <w:spacing w:after="0" w:line="240" w:lineRule="auto"/>
        <w:ind w:left="851" w:right="10" w:hanging="425"/>
        <w:rPr/>
      </w:pPr>
      <w:r w:rsidDel="00000000" w:rsidR="00000000" w:rsidRPr="00000000">
        <w:rPr>
          <w:rFonts w:ascii="Arial" w:cs="Arial" w:eastAsia="Arial" w:hAnsi="Arial"/>
          <w:sz w:val="22"/>
          <w:szCs w:val="22"/>
          <w:rtl w:val="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000000" w:rsidDel="00000000" w:rsidP="00000000" w:rsidRDefault="00000000" w:rsidRPr="00000000" w14:paraId="00000046">
      <w:pPr>
        <w:numPr>
          <w:ilvl w:val="0"/>
          <w:numId w:val="2"/>
        </w:numPr>
        <w:spacing w:after="0" w:line="240" w:lineRule="auto"/>
        <w:ind w:left="851" w:right="33" w:hanging="425"/>
        <w:rPr/>
      </w:pPr>
      <w:r w:rsidDel="00000000" w:rsidR="00000000" w:rsidRPr="00000000">
        <w:rPr>
          <w:rFonts w:ascii="Arial" w:cs="Arial" w:eastAsia="Arial" w:hAnsi="Arial"/>
          <w:sz w:val="22"/>
          <w:szCs w:val="22"/>
          <w:rtl w:val="0"/>
        </w:rPr>
        <w:t xml:space="preserve">w odniesieniu do Pani/Pana danych osobowych decyzje nie będą podejmowane w sposób zautomatyzowany, stosowanie do art. 22 RODO,</w:t>
      </w:r>
    </w:p>
    <w:p w:rsidR="00000000" w:rsidDel="00000000" w:rsidP="00000000" w:rsidRDefault="00000000" w:rsidRPr="00000000" w14:paraId="00000047">
      <w:pPr>
        <w:numPr>
          <w:ilvl w:val="0"/>
          <w:numId w:val="2"/>
        </w:numPr>
        <w:spacing w:after="0" w:line="240" w:lineRule="auto"/>
        <w:ind w:left="851" w:right="33" w:hanging="425"/>
        <w:rPr/>
      </w:pPr>
      <w:r w:rsidDel="00000000" w:rsidR="00000000" w:rsidRPr="00000000">
        <w:rPr>
          <w:rFonts w:ascii="Arial" w:cs="Arial" w:eastAsia="Arial" w:hAnsi="Arial"/>
          <w:sz w:val="22"/>
          <w:szCs w:val="22"/>
          <w:rtl w:val="0"/>
        </w:rPr>
        <w:t xml:space="preserve">posiada Pani/Pan:</w:t>
      </w:r>
    </w:p>
    <w:p w:rsidR="00000000" w:rsidDel="00000000" w:rsidP="00000000" w:rsidRDefault="00000000" w:rsidRPr="00000000" w14:paraId="00000048">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na podstawie art. 15 RODO prawo dostępu do danych osobowych Pani/Pana dotyczących;</w:t>
      </w:r>
    </w:p>
    <w:p w:rsidR="00000000" w:rsidDel="00000000" w:rsidP="00000000" w:rsidRDefault="00000000" w:rsidRPr="00000000" w14:paraId="00000049">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na podstawie art. 16 RODO prawo do sprostowania lub uzupełnienia Pani/Pana danych osobowych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rsidR="00000000" w:rsidDel="00000000" w:rsidP="00000000" w:rsidRDefault="00000000" w:rsidRPr="00000000" w14:paraId="0000004A">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w:t>
      </w:r>
      <w:r w:rsidDel="00000000" w:rsidR="00000000" w:rsidRPr="00000000">
        <w:rPr>
          <w:rFonts w:ascii="Arial" w:cs="Arial" w:eastAsia="Arial" w:hAnsi="Arial"/>
          <w:sz w:val="22"/>
          <w:szCs w:val="22"/>
          <w:highlight w:val="white"/>
          <w:rtl w:val="0"/>
        </w:rPr>
        <w:t xml:space="preserve">ochrony praw innej osoby fizycznej lub prawnej, lub z uwagi na ważne względy interesu publicznego Unii lub państwa członkowskiego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4B">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prawo do wniesienia skargi do Prezesa Urzędu Ochrony Danych Osobowych, gdy uzna Pani/Pan, że przetwarzanie danych osobowych Pani/Pana dotyczących narusza przepisy RODO,</w:t>
      </w:r>
    </w:p>
    <w:p w:rsidR="00000000" w:rsidDel="00000000" w:rsidP="00000000" w:rsidRDefault="00000000" w:rsidRPr="00000000" w14:paraId="0000004C">
      <w:pPr>
        <w:numPr>
          <w:ilvl w:val="0"/>
          <w:numId w:val="2"/>
        </w:numPr>
        <w:spacing w:after="0" w:line="240" w:lineRule="auto"/>
        <w:ind w:left="851" w:right="33" w:hanging="425"/>
        <w:rPr/>
      </w:pPr>
      <w:r w:rsidDel="00000000" w:rsidR="00000000" w:rsidRPr="00000000">
        <w:rPr>
          <w:rFonts w:ascii="Arial" w:cs="Arial" w:eastAsia="Arial" w:hAnsi="Arial"/>
          <w:sz w:val="22"/>
          <w:szCs w:val="22"/>
          <w:rtl w:val="0"/>
        </w:rPr>
        <w:t xml:space="preserve">nie przysługuje Pani/Panu:</w:t>
      </w:r>
    </w:p>
    <w:p w:rsidR="00000000" w:rsidDel="00000000" w:rsidP="00000000" w:rsidRDefault="00000000" w:rsidRPr="00000000" w14:paraId="0000004D">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w związku z art. 17 ust. 3 lit. b, d lub e RODO prawo do usunięcia danych osobowych;</w:t>
      </w:r>
    </w:p>
    <w:p w:rsidR="00000000" w:rsidDel="00000000" w:rsidP="00000000" w:rsidRDefault="00000000" w:rsidRPr="00000000" w14:paraId="0000004E">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prawo do przenoszenia danych osobowych, o którym mowa w art. 20 RODO;</w:t>
      </w:r>
    </w:p>
    <w:p w:rsidR="00000000" w:rsidDel="00000000" w:rsidP="00000000" w:rsidRDefault="00000000" w:rsidRPr="00000000" w14:paraId="0000004F">
      <w:pPr>
        <w:numPr>
          <w:ilvl w:val="3"/>
          <w:numId w:val="9"/>
        </w:numPr>
        <w:spacing w:after="0" w:line="240" w:lineRule="auto"/>
        <w:ind w:left="851" w:right="33" w:hanging="425"/>
        <w:rPr/>
      </w:pPr>
      <w:r w:rsidDel="00000000" w:rsidR="00000000" w:rsidRPr="00000000">
        <w:rPr>
          <w:rFonts w:ascii="Arial" w:cs="Arial" w:eastAsia="Arial" w:hAnsi="Arial"/>
          <w:sz w:val="22"/>
          <w:szCs w:val="22"/>
          <w:rtl w:val="0"/>
        </w:rPr>
        <w:t xml:space="preserve">na podstawie art. 21 RODO prawo sprzeciwu, wobec przetwarzania danych osobowych, gdyż podstawą prawną przetwarzania Państwa danych osobowych jest art. 6 ust. 1 lit. c RODO.</w:t>
      </w:r>
    </w:p>
    <w:p w:rsidR="00000000" w:rsidDel="00000000" w:rsidP="00000000" w:rsidRDefault="00000000" w:rsidRPr="00000000" w14:paraId="00000050">
      <w:pPr>
        <w:spacing w:after="0" w:line="240" w:lineRule="auto"/>
        <w:ind w:left="426" w:right="33"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spacing w:after="0" w:line="240" w:lineRule="auto"/>
        <w:ind w:left="426" w:right="33" w:firstLine="0"/>
        <w:rPr>
          <w:rFonts w:ascii="Arial" w:cs="Arial" w:eastAsia="Arial" w:hAnsi="Arial"/>
          <w:b w:val="1"/>
          <w:sz w:val="22"/>
          <w:szCs w:val="22"/>
        </w:rPr>
      </w:pPr>
      <w:r w:rsidDel="00000000" w:rsidR="00000000" w:rsidRPr="00000000">
        <w:rPr>
          <w:rFonts w:ascii="Arial" w:cs="Arial" w:eastAsia="Arial" w:hAnsi="Arial"/>
          <w:sz w:val="22"/>
          <w:szCs w:val="22"/>
        </w:rPr>
        <mc:AlternateContent>
          <mc:Choice Requires="wps">
            <w:drawing>
              <wp:anchor allowOverlap="1" behindDoc="0" distB="0" distT="0" distL="114300" distR="114300" hidden="0" layoutInCell="1" locked="0" relativeHeight="0" simplePos="0">
                <wp:simplePos x="0" y="0"/>
                <wp:positionH relativeFrom="page">
                  <wp:posOffset>882650</wp:posOffset>
                </wp:positionH>
                <wp:positionV relativeFrom="page">
                  <wp:posOffset>10068560</wp:posOffset>
                </wp:positionV>
                <wp:extent cx="5798160" cy="9000"/>
                <wp:effectExtent b="0" l="0" r="0" t="0"/>
                <wp:wrapTopAndBottom distB="0" distT="0"/>
                <wp:docPr id="3" name=""/>
                <a:graphic>
                  <a:graphicData uri="http://schemas.microsoft.com/office/word/2010/wordprocessingGroup">
                    <wpg:wgp>
                      <wpg:cNvGrpSpPr/>
                      <wpg:grpSpPr>
                        <a:xfrm>
                          <a:off x="0" y="0"/>
                          <a:ext cx="5798160" cy="9000"/>
                          <a:chOff x="882720" y="10068480"/>
                          <a:chExt cx="5798160" cy="9000"/>
                        </a:xfrm>
                      </wpg:grpSpPr>
                      <wps:wsp>
                        <wps:cNvSpPr/>
                        <wps:cNvPr id="6" name="Dowolny kształt: kształt 6"/>
                        <wps:spPr>
                          <a:xfrm>
                            <a:off x="0" y="0"/>
                            <a:ext cx="5798160" cy="9000"/>
                          </a:xfrm>
                          <a:custGeom>
                            <a:avLst/>
                            <a:gdLst/>
                            <a:ahLst/>
                            <a:cxnLst/>
                            <a:rect b="b" l="l" r="r" t="t"/>
                            <a:pathLst>
                              <a:path h="9144" w="5795772">
                                <a:moveTo>
                                  <a:pt x="0" y="0"/>
                                </a:moveTo>
                                <a:lnTo>
                                  <a:pt x="5795772" y="0"/>
                                </a:lnTo>
                                <a:lnTo>
                                  <a:pt x="5795772" y="9144"/>
                                </a:lnTo>
                                <a:lnTo>
                                  <a:pt x="0" y="9144"/>
                                </a:lnTo>
                                <a:lnTo>
                                  <a:pt x="0" y="0"/>
                                </a:lnTo>
                              </a:path>
                            </a:pathLst>
                          </a:custGeom>
                          <a:solidFill>
                            <a:srgbClr val="000000"/>
                          </a:solidFill>
                          <a:ln>
                            <a:noFill/>
                          </a:ln>
                        </wps:spPr>
                        <wps:style>
                          <a:lnRef idx="0">
                            <a:scrgbClr b="0" g="0" r="0"/>
                          </a:lnRef>
                          <a:fillRef idx="0">
                            <a:scrgbClr b="0" g="0" r="0"/>
                          </a:fillRef>
                          <a:effectRef idx="0">
                            <a:scrgbClr b="0" g="0" r="0"/>
                          </a:effectRef>
                          <a:fontRef idx="minor"/>
                        </wps:style>
                        <wps:bodyPr/>
                      </wps:wsp>
                    </wpg:wgp>
                  </a:graphicData>
                </a:graphic>
              </wp:anchor>
            </w:drawing>
          </mc:Choice>
          <mc:Fallback>
            <w:drawing>
              <wp:anchor allowOverlap="1" behindDoc="0" distB="0" distT="0" distL="114300" distR="114300" hidden="0" layoutInCell="1" locked="0" relativeHeight="0" simplePos="0">
                <wp:simplePos x="0" y="0"/>
                <wp:positionH relativeFrom="page">
                  <wp:posOffset>882650</wp:posOffset>
                </wp:positionH>
                <wp:positionV relativeFrom="page">
                  <wp:posOffset>10068560</wp:posOffset>
                </wp:positionV>
                <wp:extent cx="5798160" cy="9000"/>
                <wp:effectExtent b="0" l="0" r="0" t="0"/>
                <wp:wrapTopAndBottom distB="0" distT="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798160" cy="9000"/>
                        </a:xfrm>
                        <a:prstGeom prst="rect"/>
                        <a:ln/>
                      </pic:spPr>
                    </pic:pic>
                  </a:graphicData>
                </a:graphic>
              </wp:anchor>
            </w:drawing>
          </mc:Fallback>
        </mc:AlternateContent>
      </w:r>
      <w:r w:rsidDel="00000000" w:rsidR="00000000" w:rsidRPr="00000000">
        <w:rPr>
          <w:rFonts w:ascii="Arial" w:cs="Arial" w:eastAsia="Arial" w:hAnsi="Arial"/>
          <w:sz w:val="22"/>
          <w:szCs w:val="22"/>
          <w:rtl w:val="0"/>
        </w:rPr>
        <w:t xml:space="preserve">Wykonawca zobowiązuje się poinformować w imieniu Zamawiającego wszystkie osoby fizyczne w szczególności: skierowane do realizacji zamówienia, podwykonawców/podmioty udostępniające zasoby będące osobami fizycznymi, pełnomocników podwykonawcy/podmiotu udostępniającego zasoby będących osobą fizyczną, członków organu zarządzającego podwykonawcy/podmiotu udostępniającego zasoby będącego osobą fizyczną, osoby, których dane służą wykazaniu spełnienia warunków udziału w postępowaniu, braku podstaw do wykluczenia z postępowania jak i potwierdzenia wymogów Zamawiającego dotyczących wykonania przedmiotu zamówienia, a których dane osobowe zawarte są w składanej ofercie lub jakimkolwiek dokumencie składanym w postępowaniu o udzielenie zamówienia o:</w:t>
      </w:r>
      <w:r w:rsidDel="00000000" w:rsidR="00000000" w:rsidRPr="00000000">
        <w:rPr>
          <w:rtl w:val="0"/>
        </w:rPr>
      </w:r>
    </w:p>
    <w:p w:rsidR="00000000" w:rsidDel="00000000" w:rsidP="00000000" w:rsidRDefault="00000000" w:rsidRPr="00000000" w14:paraId="00000052">
      <w:pPr>
        <w:spacing w:after="0" w:line="240" w:lineRule="auto"/>
        <w:ind w:left="426" w:right="33" w:firstLine="0"/>
        <w:rPr>
          <w:rFonts w:ascii="Arial" w:cs="Arial" w:eastAsia="Arial" w:hAnsi="Arial"/>
          <w:sz w:val="22"/>
          <w:szCs w:val="22"/>
        </w:rPr>
      </w:pPr>
      <w:r w:rsidDel="00000000" w:rsidR="00000000" w:rsidRPr="00000000">
        <w:rPr>
          <w:rFonts w:ascii="Arial" w:cs="Arial" w:eastAsia="Arial" w:hAnsi="Arial"/>
          <w:color w:val="000000"/>
          <w:sz w:val="22"/>
          <w:szCs w:val="22"/>
          <w:vertAlign w:val="superscript"/>
          <w:rtl w:val="0"/>
        </w:rPr>
        <w:t xml:space="preserve">−</w:t>
      </w:r>
      <w:r w:rsidDel="00000000" w:rsidR="00000000" w:rsidRPr="00000000">
        <w:rPr>
          <w:rFonts w:ascii="Arial" w:cs="Arial" w:eastAsia="Arial" w:hAnsi="Arial"/>
          <w:color w:val="000000"/>
          <w:sz w:val="22"/>
          <w:szCs w:val="22"/>
          <w:rtl w:val="0"/>
        </w:rPr>
        <w:t xml:space="preserve"> fakcie przekazania danych osobowych podmiotowi określonemu w lit. 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3">
      <w:pPr>
        <w:spacing w:after="0" w:line="240" w:lineRule="auto"/>
        <w:ind w:left="426" w:right="33" w:firstLine="0"/>
        <w:rPr>
          <w:rFonts w:ascii="Arial" w:cs="Arial" w:eastAsia="Arial" w:hAnsi="Arial"/>
          <w:sz w:val="22"/>
          <w:szCs w:val="22"/>
        </w:rPr>
      </w:pPr>
      <w:r w:rsidDel="00000000" w:rsidR="00000000" w:rsidRPr="00000000">
        <w:rPr>
          <w:rFonts w:ascii="Arial" w:cs="Arial" w:eastAsia="Arial" w:hAnsi="Arial"/>
          <w:sz w:val="22"/>
          <w:szCs w:val="22"/>
          <w:vertAlign w:val="superscript"/>
          <w:rtl w:val="0"/>
        </w:rPr>
        <w:t xml:space="preserve">−</w:t>
      </w:r>
      <w:r w:rsidDel="00000000" w:rsidR="00000000" w:rsidRPr="00000000">
        <w:rPr>
          <w:rFonts w:ascii="Arial" w:cs="Arial" w:eastAsia="Arial" w:hAnsi="Arial"/>
          <w:sz w:val="22"/>
          <w:szCs w:val="22"/>
          <w:rtl w:val="0"/>
        </w:rPr>
        <w:t xml:space="preserve"> przetwarzaniu danych osobowych przez podmiot określony </w:t>
      </w:r>
      <w:r w:rsidDel="00000000" w:rsidR="00000000" w:rsidRPr="00000000">
        <w:rPr>
          <w:rFonts w:ascii="Arial" w:cs="Arial" w:eastAsia="Arial" w:hAnsi="Arial"/>
          <w:color w:val="000000"/>
          <w:sz w:val="22"/>
          <w:szCs w:val="22"/>
          <w:rtl w:val="0"/>
        </w:rPr>
        <w:t xml:space="preserve">w lit. 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4">
      <w:pPr>
        <w:spacing w:after="0" w:line="240" w:lineRule="auto"/>
        <w:ind w:left="426" w:right="3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Obowiązek ten jest uregulowany w art. 14 RODO. W związku z powyższym Zamawiający przypomina, że obowiązek informacyjny określony przepisami RODO spoczywa także na Wykonawcach</w:t>
      </w:r>
      <w:r w:rsidDel="00000000" w:rsidR="00000000" w:rsidRPr="00000000">
        <w:rPr>
          <w:rFonts w:ascii="Arial" w:cs="Arial" w:eastAsia="Arial" w:hAnsi="Arial"/>
          <w:sz w:val="22"/>
          <w:szCs w:val="22"/>
          <w:rtl w:val="0"/>
        </w:rPr>
        <w:t xml:space="preserve">, którzy pozyskują dane osobowe osób trzecich w celu przekazania ich Zamawiającemu w ofertach.</w:t>
      </w:r>
    </w:p>
    <w:p w:rsidR="00000000" w:rsidDel="00000000" w:rsidP="00000000" w:rsidRDefault="00000000" w:rsidRPr="00000000" w14:paraId="00000055">
      <w:pPr>
        <w:spacing w:after="0" w:line="240" w:lineRule="auto"/>
        <w:ind w:left="426" w:right="33" w:hanging="8.999999999999986"/>
        <w:rPr>
          <w:rFonts w:ascii="Arial" w:cs="Arial" w:eastAsia="Arial" w:hAnsi="Arial"/>
          <w:color w:val="000000"/>
          <w:sz w:val="22"/>
          <w:szCs w:val="22"/>
          <w:u w:val="singl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32"/>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Adres strony internetowej, na której udostępniane będą zmiany i wyjaśnienia treści SWZ oraz inne dokumenty zamówienia bezpośrednio związane z postępowaniem o udzielenie zamówienia: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single"/>
          <w:shd w:fill="auto" w:val="clear"/>
          <w:vertAlign w:val="baseline"/>
        </w:rPr>
      </w:pP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https://platformazakupowa.pl/transakcja/940254</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32"/>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Tryb udzielenia zamówienia:</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Postępowanie o udzielenie przedmiotowego zamówienia publicznego prowadzone jest dla wartości zamówienia mniejszej niż próg unijny - w trybie podstawowym na podstawie art. 275 pkt 1) ustawy z dnia 11 września 2019 r. Prawo zamówień publicznych oraz przepisów wykonawczych wydanych na jej podstawie.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32"/>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Informację, czy zamawiający przewiduje wybór najkorzystniejszej oferty z możliwością prowadzenia negocjacji:</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wyboru najkorzystniejszej oferty po przeprowadzeniu negocjacji.</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32"/>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Opis przedmiotu zamówienia:</w:t>
      </w:r>
      <w:r w:rsidDel="00000000" w:rsidR="00000000" w:rsidRPr="00000000">
        <w:rPr>
          <w:rtl w:val="0"/>
        </w:rPr>
      </w:r>
    </w:p>
    <w:p w:rsidR="00000000" w:rsidDel="00000000" w:rsidP="00000000" w:rsidRDefault="00000000" w:rsidRPr="00000000" w14:paraId="00000060">
      <w:pPr>
        <w:spacing w:after="0" w:line="240" w:lineRule="auto"/>
        <w:ind w:left="426" w:firstLine="0"/>
        <w:rPr>
          <w:rFonts w:ascii="Arial" w:cs="Arial" w:eastAsia="Arial" w:hAnsi="Arial"/>
          <w:color w:val="000000"/>
          <w:sz w:val="22"/>
          <w:szCs w:val="22"/>
        </w:rPr>
      </w:pPr>
      <w:bookmarkStart w:colFirst="0" w:colLast="0" w:name="_3znysh7" w:id="3"/>
      <w:bookmarkEnd w:id="3"/>
      <w:r w:rsidDel="00000000" w:rsidR="00000000" w:rsidRPr="00000000">
        <w:rPr>
          <w:rFonts w:ascii="Arial" w:cs="Arial" w:eastAsia="Arial" w:hAnsi="Arial"/>
          <w:sz w:val="22"/>
          <w:szCs w:val="22"/>
          <w:rtl w:val="0"/>
        </w:rPr>
        <w:t xml:space="preserve">Przedmiotem zamówienia jest</w:t>
      </w:r>
      <w:r w:rsidDel="00000000" w:rsidR="00000000" w:rsidRPr="00000000">
        <w:rPr>
          <w:rFonts w:ascii="Arial" w:cs="Arial" w:eastAsia="Arial" w:hAnsi="Arial"/>
          <w:color w:val="000000"/>
          <w:sz w:val="22"/>
          <w:szCs w:val="22"/>
          <w:rtl w:val="0"/>
        </w:rPr>
        <w:t xml:space="preserve"> budowa budynku mieszkalnego wielorodzinnego z wbudowanym garażem podziemnym wielostanowiskowym, zagospodarowaniem terenu, w tym: przyłączami wodnym, kanalizacji sanitarnej i kanalizacji deszczowej, dwoma zjazdami z ulicy Polnej oraz zewnętrznymi instalacjami wewnętrznymi, zlokalizowanego w Szczekocinach, przy ul. Polnej.</w:t>
      </w:r>
    </w:p>
    <w:p w:rsidR="00000000" w:rsidDel="00000000" w:rsidP="00000000" w:rsidRDefault="00000000" w:rsidRPr="00000000" w14:paraId="00000061">
      <w:pPr>
        <w:spacing w:after="0" w:line="240" w:lineRule="auto"/>
        <w:ind w:left="426" w:firstLine="0"/>
        <w:rPr>
          <w:rFonts w:ascii="Arial" w:cs="Arial" w:eastAsia="Arial" w:hAnsi="Arial"/>
          <w:sz w:val="22"/>
          <w:szCs w:val="22"/>
        </w:rPr>
      </w:pPr>
      <w:bookmarkStart w:colFirst="0" w:colLast="0" w:name="_8cxumdl0qhc1" w:id="4"/>
      <w:bookmarkEnd w:id="4"/>
      <w:r w:rsidDel="00000000" w:rsidR="00000000" w:rsidRPr="00000000">
        <w:rPr>
          <w:rtl w:val="0"/>
        </w:rPr>
      </w:r>
    </w:p>
    <w:p w:rsidR="00000000" w:rsidDel="00000000" w:rsidP="00000000" w:rsidRDefault="00000000" w:rsidRPr="00000000" w14:paraId="00000062">
      <w:pPr>
        <w:spacing w:after="0" w:line="240" w:lineRule="auto"/>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Dokumentacja projektowa opisująca przedmiot zamówienia obejmuje swym zakresem przeprowadzenie robót rozbiórkowych istniejących budynków. Rozbiórka budynków została zrealizowana. Zamawiający usunął z przedmiaru dział dotyczący tego zakresu i wprowadził dodatkowy przedmiar jako prace, które pozostały do wykonania po przeprowadzeniu robót rozbiórkowych. Zamawiający nie dokonywał w tym zakresie zmian w dokumentacji projektowej. Zapisy w tym zakresie należy traktować jako prace nie będące przedmiotem zamówienia.</w:t>
      </w:r>
    </w:p>
    <w:p w:rsidR="00000000" w:rsidDel="00000000" w:rsidP="00000000" w:rsidRDefault="00000000" w:rsidRPr="00000000" w14:paraId="00000063">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Nazwa/y i kod/y Wspólnego Słownika Zamówień: (CPV):</w:t>
      </w:r>
    </w:p>
    <w:p w:rsidR="00000000" w:rsidDel="00000000" w:rsidP="00000000" w:rsidRDefault="00000000" w:rsidRPr="00000000" w14:paraId="00000065">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45000000-7 - </w:t>
        <w:tab/>
        <w:t xml:space="preserve">Roboty budowlane,</w:t>
      </w:r>
    </w:p>
    <w:p w:rsidR="00000000" w:rsidDel="00000000" w:rsidP="00000000" w:rsidRDefault="00000000" w:rsidRPr="00000000" w14:paraId="00000066">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45211340-4 - </w:t>
        <w:tab/>
        <w:t xml:space="preserve">Roboty budowlane w zakresie budownictwa wielorodzinnego,</w:t>
      </w:r>
    </w:p>
    <w:p w:rsidR="00000000" w:rsidDel="00000000" w:rsidP="00000000" w:rsidRDefault="00000000" w:rsidRPr="00000000" w14:paraId="00000067">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45320000-6 - </w:t>
        <w:tab/>
        <w:t xml:space="preserve">Roboty izolacyjne,</w:t>
      </w:r>
    </w:p>
    <w:p w:rsidR="00000000" w:rsidDel="00000000" w:rsidP="00000000" w:rsidRDefault="00000000" w:rsidRPr="00000000" w14:paraId="00000068">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45450000-6 - </w:t>
        <w:tab/>
        <w:t xml:space="preserve">Roboty budowlane wykończeniowe, pozostałe,</w:t>
      </w:r>
    </w:p>
    <w:p w:rsidR="00000000" w:rsidDel="00000000" w:rsidP="00000000" w:rsidRDefault="00000000" w:rsidRPr="00000000" w14:paraId="00000069">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45310000-3 - </w:t>
        <w:tab/>
        <w:t xml:space="preserve">Roboty instalacyjne elektryczne,</w:t>
      </w:r>
    </w:p>
    <w:p w:rsidR="00000000" w:rsidDel="00000000" w:rsidP="00000000" w:rsidRDefault="00000000" w:rsidRPr="00000000" w14:paraId="0000006A">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45111100-9 - </w:t>
        <w:tab/>
        <w:t xml:space="preserve">Roboty w zakresie burzenia,</w:t>
      </w:r>
    </w:p>
    <w:p w:rsidR="00000000" w:rsidDel="00000000" w:rsidP="00000000" w:rsidRDefault="00000000" w:rsidRPr="00000000" w14:paraId="0000006B">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45111220-6 - </w:t>
        <w:tab/>
        <w:t xml:space="preserve">Roboty w zakresie usuwania gruzu,</w:t>
      </w:r>
    </w:p>
    <w:p w:rsidR="00000000" w:rsidDel="00000000" w:rsidP="00000000" w:rsidRDefault="00000000" w:rsidRPr="00000000" w14:paraId="0000006C">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45262500-6 - </w:t>
        <w:tab/>
        <w:t xml:space="preserve">Roboty murarskie i murowe,</w:t>
      </w:r>
    </w:p>
    <w:p w:rsidR="00000000" w:rsidDel="00000000" w:rsidP="00000000" w:rsidRDefault="00000000" w:rsidRPr="00000000" w14:paraId="0000006D">
      <w:pPr>
        <w:spacing w:after="0" w:line="240" w:lineRule="auto"/>
        <w:ind w:left="2127" w:hanging="1701"/>
        <w:rPr>
          <w:rFonts w:ascii="Arial" w:cs="Arial" w:eastAsia="Arial" w:hAnsi="Arial"/>
          <w:sz w:val="22"/>
          <w:szCs w:val="22"/>
        </w:rPr>
      </w:pPr>
      <w:r w:rsidDel="00000000" w:rsidR="00000000" w:rsidRPr="00000000">
        <w:rPr>
          <w:rFonts w:ascii="Arial" w:cs="Arial" w:eastAsia="Arial" w:hAnsi="Arial"/>
          <w:sz w:val="22"/>
          <w:szCs w:val="22"/>
          <w:rtl w:val="0"/>
        </w:rPr>
        <w:t xml:space="preserve">45260000-7 - </w:t>
        <w:tab/>
        <w:t xml:space="preserve">Roboty w zakresie pokryć i konstrukcji dachowych i inne podobne roboty specjalistyczne,</w:t>
      </w:r>
    </w:p>
    <w:p w:rsidR="00000000" w:rsidDel="00000000" w:rsidP="00000000" w:rsidRDefault="00000000" w:rsidRPr="00000000" w14:paraId="0000006E">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45430000-0 - </w:t>
        <w:tab/>
        <w:t xml:space="preserve">Pokrywanie podłóg i ścian,</w:t>
      </w:r>
    </w:p>
    <w:p w:rsidR="00000000" w:rsidDel="00000000" w:rsidP="00000000" w:rsidRDefault="00000000" w:rsidRPr="00000000" w14:paraId="0000006F">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45431000-7 - </w:t>
        <w:tab/>
        <w:t xml:space="preserve">Kładzenie płytek,</w:t>
      </w:r>
    </w:p>
    <w:p w:rsidR="00000000" w:rsidDel="00000000" w:rsidP="00000000" w:rsidRDefault="00000000" w:rsidRPr="00000000" w14:paraId="00000070">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45262000-1 - </w:t>
        <w:tab/>
        <w:t xml:space="preserve">Specjalne roboty budowlane inne niż dachowe,</w:t>
      </w:r>
    </w:p>
    <w:p w:rsidR="00000000" w:rsidDel="00000000" w:rsidP="00000000" w:rsidRDefault="00000000" w:rsidRPr="00000000" w14:paraId="00000071">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45421100-5 - </w:t>
        <w:tab/>
        <w:t xml:space="preserve">Instalowanie drzwi i okien i podobnych elementów,</w:t>
      </w:r>
    </w:p>
    <w:p w:rsidR="00000000" w:rsidDel="00000000" w:rsidP="00000000" w:rsidRDefault="00000000" w:rsidRPr="00000000" w14:paraId="00000072">
      <w:pPr>
        <w:spacing w:after="0" w:line="240" w:lineRule="auto"/>
        <w:ind w:left="1701" w:hanging="1275"/>
        <w:rPr>
          <w:rFonts w:ascii="Arial" w:cs="Arial" w:eastAsia="Arial" w:hAnsi="Arial"/>
          <w:sz w:val="22"/>
          <w:szCs w:val="22"/>
        </w:rPr>
      </w:pPr>
      <w:r w:rsidDel="00000000" w:rsidR="00000000" w:rsidRPr="00000000">
        <w:rPr>
          <w:rFonts w:ascii="Arial" w:cs="Arial" w:eastAsia="Arial" w:hAnsi="Arial"/>
          <w:sz w:val="22"/>
          <w:szCs w:val="22"/>
          <w:rtl w:val="0"/>
        </w:rPr>
        <w:t xml:space="preserve">45442100-8 - </w:t>
        <w:tab/>
        <w:t xml:space="preserve">Roboty malarskie,</w:t>
      </w:r>
    </w:p>
    <w:p w:rsidR="00000000" w:rsidDel="00000000" w:rsidP="00000000" w:rsidRDefault="00000000" w:rsidRPr="00000000" w14:paraId="00000073">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45311100-1 - </w:t>
        <w:tab/>
        <w:t xml:space="preserve">Roboty w zakresie okablowania elektrycznego,</w:t>
      </w:r>
    </w:p>
    <w:p w:rsidR="00000000" w:rsidDel="00000000" w:rsidP="00000000" w:rsidRDefault="00000000" w:rsidRPr="00000000" w14:paraId="00000074">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45315700-5 - </w:t>
        <w:tab/>
        <w:t xml:space="preserve">Instalowanie stacji rozdzielczych,</w:t>
      </w:r>
    </w:p>
    <w:p w:rsidR="00000000" w:rsidDel="00000000" w:rsidP="00000000" w:rsidRDefault="00000000" w:rsidRPr="00000000" w14:paraId="00000075">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45111200-0 - </w:t>
        <w:tab/>
        <w:t xml:space="preserve">Roboty w zakresie przygotowania terenu pod budowę i roboty ziemne,</w:t>
      </w:r>
    </w:p>
    <w:p w:rsidR="00000000" w:rsidDel="00000000" w:rsidP="00000000" w:rsidRDefault="00000000" w:rsidRPr="00000000" w14:paraId="00000076">
      <w:pPr>
        <w:spacing w:after="0" w:line="240" w:lineRule="auto"/>
        <w:ind w:left="2127" w:hanging="1701"/>
        <w:rPr>
          <w:rFonts w:ascii="Arial" w:cs="Arial" w:eastAsia="Arial" w:hAnsi="Arial"/>
          <w:sz w:val="22"/>
          <w:szCs w:val="22"/>
        </w:rPr>
      </w:pPr>
      <w:r w:rsidDel="00000000" w:rsidR="00000000" w:rsidRPr="00000000">
        <w:rPr>
          <w:rFonts w:ascii="Arial" w:cs="Arial" w:eastAsia="Arial" w:hAnsi="Arial"/>
          <w:sz w:val="22"/>
          <w:szCs w:val="22"/>
          <w:rtl w:val="0"/>
        </w:rPr>
        <w:t xml:space="preserve">45231300-8 - </w:t>
        <w:tab/>
        <w:t xml:space="preserve">Roboty budowlane w zakresie budowy wodociągów i rurociągów do odprowadzania ścieków,</w:t>
      </w:r>
    </w:p>
    <w:p w:rsidR="00000000" w:rsidDel="00000000" w:rsidP="00000000" w:rsidRDefault="00000000" w:rsidRPr="00000000" w14:paraId="00000077">
      <w:pPr>
        <w:spacing w:after="0" w:line="240" w:lineRule="auto"/>
        <w:ind w:left="2127" w:hanging="1701"/>
        <w:rPr>
          <w:rFonts w:ascii="Arial" w:cs="Arial" w:eastAsia="Arial" w:hAnsi="Arial"/>
          <w:sz w:val="22"/>
          <w:szCs w:val="22"/>
        </w:rPr>
      </w:pPr>
      <w:r w:rsidDel="00000000" w:rsidR="00000000" w:rsidRPr="00000000">
        <w:rPr>
          <w:rFonts w:ascii="Arial" w:cs="Arial" w:eastAsia="Arial" w:hAnsi="Arial"/>
          <w:sz w:val="22"/>
          <w:szCs w:val="22"/>
          <w:rtl w:val="0"/>
        </w:rPr>
        <w:t xml:space="preserve">45100000-8 - </w:t>
        <w:tab/>
        <w:t xml:space="preserve">Przygotowanie terenu pod budowę,</w:t>
      </w:r>
    </w:p>
    <w:p w:rsidR="00000000" w:rsidDel="00000000" w:rsidP="00000000" w:rsidRDefault="00000000" w:rsidRPr="00000000" w14:paraId="00000078">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45321000-3 - </w:t>
        <w:tab/>
        <w:t xml:space="preserve">Izolacja cieplna,</w:t>
      </w:r>
    </w:p>
    <w:p w:rsidR="00000000" w:rsidDel="00000000" w:rsidP="00000000" w:rsidRDefault="00000000" w:rsidRPr="00000000" w14:paraId="00000079">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45331100-7 - </w:t>
        <w:tab/>
        <w:t xml:space="preserve">Instalowanie centralnego ogrzewania,</w:t>
      </w:r>
    </w:p>
    <w:p w:rsidR="00000000" w:rsidDel="00000000" w:rsidP="00000000" w:rsidRDefault="00000000" w:rsidRPr="00000000" w14:paraId="0000007A">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45332200-5 - </w:t>
        <w:tab/>
        <w:t xml:space="preserve">Roboty instalacyjne hydrauliczne,</w:t>
      </w:r>
    </w:p>
    <w:p w:rsidR="00000000" w:rsidDel="00000000" w:rsidP="00000000" w:rsidRDefault="00000000" w:rsidRPr="00000000" w14:paraId="0000007B">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45332300-6 - </w:t>
        <w:tab/>
        <w:t xml:space="preserve">Roboty instalacyjne kanalizacyjne,</w:t>
      </w:r>
    </w:p>
    <w:p w:rsidR="00000000" w:rsidDel="00000000" w:rsidP="00000000" w:rsidRDefault="00000000" w:rsidRPr="00000000" w14:paraId="0000007C">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45312310-3 - </w:t>
        <w:tab/>
        <w:t xml:space="preserve">Ochrona odgromowa,</w:t>
      </w:r>
    </w:p>
    <w:p w:rsidR="00000000" w:rsidDel="00000000" w:rsidP="00000000" w:rsidRDefault="00000000" w:rsidRPr="00000000" w14:paraId="0000007D">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45331210-1 - </w:t>
        <w:tab/>
        <w:t xml:space="preserve">Instalowanie wentylacji,</w:t>
      </w:r>
    </w:p>
    <w:p w:rsidR="00000000" w:rsidDel="00000000" w:rsidP="00000000" w:rsidRDefault="00000000" w:rsidRPr="00000000" w14:paraId="0000007E">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45422000-1 - </w:t>
        <w:tab/>
        <w:t xml:space="preserve">Roboty ciesielskie,</w:t>
      </w:r>
    </w:p>
    <w:p w:rsidR="00000000" w:rsidDel="00000000" w:rsidP="00000000" w:rsidRDefault="00000000" w:rsidRPr="00000000" w14:paraId="0000007F">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45262300-4 - </w:t>
        <w:tab/>
        <w:t xml:space="preserve">Betonowanie,</w:t>
      </w:r>
    </w:p>
    <w:p w:rsidR="00000000" w:rsidDel="00000000" w:rsidP="00000000" w:rsidRDefault="00000000" w:rsidRPr="00000000" w14:paraId="00000080">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45262311-4 - </w:t>
        <w:tab/>
        <w:t xml:space="preserve">Betonowanie konstrukcji,</w:t>
      </w:r>
    </w:p>
    <w:p w:rsidR="00000000" w:rsidDel="00000000" w:rsidP="00000000" w:rsidRDefault="00000000" w:rsidRPr="00000000" w14:paraId="00000081">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45262310-7 - </w:t>
        <w:tab/>
        <w:t xml:space="preserve">Zbrojenie.</w:t>
      </w:r>
    </w:p>
    <w:p w:rsidR="00000000" w:rsidDel="00000000" w:rsidP="00000000" w:rsidRDefault="00000000" w:rsidRPr="00000000" w14:paraId="00000082">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Opis przedmiotu zamówienia </w:t>
      </w:r>
      <w:r w:rsidDel="00000000" w:rsidR="00000000" w:rsidRPr="00000000">
        <w:rPr>
          <w:rFonts w:ascii="Arial" w:cs="Arial" w:eastAsia="Arial" w:hAnsi="Arial"/>
          <w:color w:val="000000"/>
          <w:sz w:val="22"/>
          <w:szCs w:val="22"/>
          <w:rtl w:val="0"/>
        </w:rPr>
        <w:t xml:space="preserve">zawiera </w:t>
      </w:r>
      <w:r w:rsidDel="00000000" w:rsidR="00000000" w:rsidRPr="00000000">
        <w:rPr>
          <w:rFonts w:ascii="Arial" w:cs="Arial" w:eastAsia="Arial" w:hAnsi="Arial"/>
          <w:b w:val="1"/>
          <w:color w:val="000000"/>
          <w:sz w:val="22"/>
          <w:szCs w:val="22"/>
          <w:rtl w:val="0"/>
        </w:rPr>
        <w:t xml:space="preserve">załącznik nr 1 do SWZ</w:t>
      </w:r>
      <w:r w:rsidDel="00000000" w:rsidR="00000000" w:rsidRPr="00000000">
        <w:rPr>
          <w:rFonts w:ascii="Arial" w:cs="Arial" w:eastAsia="Arial" w:hAnsi="Arial"/>
          <w:color w:val="000000"/>
          <w:sz w:val="22"/>
          <w:szCs w:val="22"/>
          <w:rtl w:val="0"/>
        </w:rPr>
        <w:t xml:space="preserve"> tj.</w:t>
      </w:r>
      <w:r w:rsidDel="00000000" w:rsidR="00000000" w:rsidRPr="00000000">
        <w:rPr>
          <w:rtl w:val="0"/>
        </w:rPr>
      </w:r>
    </w:p>
    <w:p w:rsidR="00000000" w:rsidDel="00000000" w:rsidP="00000000" w:rsidRDefault="00000000" w:rsidRPr="00000000" w14:paraId="00000084">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opis przedmiotu zamówienia,</w:t>
      </w:r>
    </w:p>
    <w:p w:rsidR="00000000" w:rsidDel="00000000" w:rsidP="00000000" w:rsidRDefault="00000000" w:rsidRPr="00000000" w14:paraId="00000085">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przedmiar robót,</w:t>
      </w:r>
    </w:p>
    <w:p w:rsidR="00000000" w:rsidDel="00000000" w:rsidP="00000000" w:rsidRDefault="00000000" w:rsidRPr="00000000" w14:paraId="00000086">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color w:val="000000"/>
          <w:sz w:val="22"/>
          <w:szCs w:val="22"/>
          <w:rtl w:val="0"/>
        </w:rPr>
        <w:t xml:space="preserve">specyfikacje techniczne wykonania i odbioru robót budowlanych,</w:t>
      </w:r>
    </w:p>
    <w:p w:rsidR="00000000" w:rsidDel="00000000" w:rsidP="00000000" w:rsidRDefault="00000000" w:rsidRPr="00000000" w14:paraId="00000087">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t>
        <w:tab/>
        <w:t xml:space="preserve">dokumentacja projektowa,</w:t>
      </w:r>
    </w:p>
    <w:p w:rsidR="00000000" w:rsidDel="00000000" w:rsidP="00000000" w:rsidRDefault="00000000" w:rsidRPr="00000000" w14:paraId="00000088">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 powyższej dokumentacji Zamawiający dołączył projektowaną charakterystykę energetyczną obiektu.</w:t>
      </w:r>
    </w:p>
    <w:p w:rsidR="00000000" w:rsidDel="00000000" w:rsidP="00000000" w:rsidRDefault="00000000" w:rsidRPr="00000000" w14:paraId="00000089">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Wykonany obiekt będący przedmiotem zamówienia na koniec inwestycji będzie musiał uzyskać świadectwo energetyczne efektywności energetycznej EP [kWh/m</w:t>
      </w:r>
      <w:r w:rsidDel="00000000" w:rsidR="00000000" w:rsidRPr="00000000">
        <w:rPr>
          <w:rFonts w:ascii="Arial" w:cs="Arial" w:eastAsia="Arial" w:hAnsi="Arial"/>
          <w:color w:val="000000"/>
          <w:sz w:val="22"/>
          <w:szCs w:val="22"/>
          <w:vertAlign w:val="superscript"/>
          <w:rtl w:val="0"/>
        </w:rPr>
        <w:t xml:space="preserve">2</w:t>
      </w:r>
      <w:r w:rsidDel="00000000" w:rsidR="00000000" w:rsidRPr="00000000">
        <w:rPr>
          <w:rFonts w:ascii="Arial" w:cs="Arial" w:eastAsia="Arial" w:hAnsi="Arial"/>
          <w:color w:val="000000"/>
          <w:sz w:val="22"/>
          <w:szCs w:val="22"/>
          <w:rtl w:val="0"/>
        </w:rPr>
        <w:t xml:space="preserve"> x rok] ≤ 52 (mniejszy lub równy).</w:t>
      </w:r>
    </w:p>
    <w:p w:rsidR="00000000" w:rsidDel="00000000" w:rsidP="00000000" w:rsidRDefault="00000000" w:rsidRPr="00000000" w14:paraId="0000008A">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rsidR="00000000" w:rsidDel="00000000" w:rsidP="00000000" w:rsidRDefault="00000000" w:rsidRPr="00000000" w14:paraId="0000008B">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Zgodnie z art. 101 ust. 4 ustawy Pzp w sytuacji, gdyby w dokumentacji projektowej lub STWiORB, a więc w dokumentach opisujących przedmiot zamówienia, zawarto odniesienie do norm, ocen technicznych,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specyfikacji technicznej, systemowi referencji technicznych. W związku z powyższym należy przyjąć, że każdej: normie, ocenie technicznej, specyfikacji technicznej, systemowi referencji technicznych występujących w opisie przedmiotu zamówienia towarzyszą wyrazy „lub równoważne”. Zgodnie z art. 101 ust. 5 Pzp wykonawca, który powołuje się na rozwiązania równoważne opisywanym w tych dokumentach, jest obowiązany udowodnić w ofercie, w szczególności za pomocą przedmiotowych środków dowodowych, o których mowa w art. 104–107 ustawy Pzp, że proponowane rozwiązania w równoważnym stopniu spełniają wymagania określone w opisie przedmiotu zamówienia.</w:t>
      </w:r>
    </w:p>
    <w:p w:rsidR="00000000" w:rsidDel="00000000" w:rsidP="00000000" w:rsidRDefault="00000000" w:rsidRPr="00000000" w14:paraId="0000008D">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 sytuacji, gdyby w dokumentacji projektowej lub STWiORB, a więc w dokumentach opisujących przedmiot zamówienia, zawarto wskazanie znaków towarowych, patentów lub pochodzenia, źródła lub szczególnego procesu, który charakteryzuje produkty lub usługi dostarczane przez konkretnego wykonawcę, a wskazaniu takiemu nie towarzyszyły wyrazy „lub równoważny”, to Zamawiający dopuszcza rozwiązania równoważne opisywanym spełniające wymogi zawarte w dokumentacji i opisie przedmiotu zamówienia co najmniej pod względem technicznym, jakościowym, funkcjonalnym - zaoferowany równoważny przedmiot zamówienia winien być o takich samych lub lepszych parametrach technicznych, jakościowych, funkcjonalnych, spełniających minimalne parametry określone przez Zamawiającego w dokumentacji i opisie przedmiotu zamówienia.</w:t>
      </w:r>
    </w:p>
    <w:p w:rsidR="00000000" w:rsidDel="00000000" w:rsidP="00000000" w:rsidRDefault="00000000" w:rsidRPr="00000000" w14:paraId="0000008F">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spacing w:after="0" w:line="240" w:lineRule="auto"/>
        <w:ind w:left="426"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Przedmiotowe środki dowodowe:</w:t>
      </w:r>
    </w:p>
    <w:p w:rsidR="00000000" w:rsidDel="00000000" w:rsidP="00000000" w:rsidRDefault="00000000" w:rsidRPr="00000000" w14:paraId="00000091">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 przypadku zastosowania produktów (materiałów, urządzeń, wyrobów), usług, norm, ocen technicznych, specyfikacji technicznych i systemów referencji technicznych lub rozwiązań równoważnych, w rozumieniu art. 99 ust. 5 lub art. 101 ust. 4 ustawy Pzp, Wykonawca zobowiązany jest do ich wskazania w ofercie oraz do złożenia wraz z ofertą dokumentów takich jak świadectwa, aprobaty, certyfikaty, atesty, karty katalogowe / techniczne lub inne równoważne dokumenty dopuszczające do stosowania w budownictwie na terenie Unii Europejskiej oraz potwierdzających, że oferowane rozwiązanie równoważne spełniają wymagania Zamawiającego opisane w dokumentacji i opisie przedmiotu zamówienia.</w:t>
      </w:r>
    </w:p>
    <w:p w:rsidR="00000000" w:rsidDel="00000000" w:rsidP="00000000" w:rsidRDefault="00000000" w:rsidRPr="00000000" w14:paraId="00000092">
      <w:pPr>
        <w:spacing w:after="0" w:line="240" w:lineRule="auto"/>
        <w:ind w:left="426" w:firstLine="0"/>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3">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Całe rozwiązanie w zakresie dostawy i montażu elementów prefabrykowanych keramzytobetonowych dla obiektu ma pochodzić od producenta, wytwórcy, który posiada ważne certyfikaty i deklaracje i ma być objęta jednolitą i spójną gwarancją udzieloną przez producenta, wytwórcę elementów prefabrykowanych. W związku z powyższym wraz z ofertą wykonawca musi przedstawić:</w:t>
      </w:r>
    </w:p>
    <w:p w:rsidR="00000000" w:rsidDel="00000000" w:rsidP="00000000" w:rsidRDefault="00000000" w:rsidRPr="00000000" w14:paraId="00000094">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 Ważny certyfikat zgodności zakładowej kontroli produkcji oraz aktualną deklarację właściwości użytkowych na prefabrykowane elementy betonowe - elementy ścian wydany przez jednostkę posiadającą stosowne uprawnienia zgodne z obowiązującymi przepisami.</w:t>
      </w:r>
    </w:p>
    <w:p w:rsidR="00000000" w:rsidDel="00000000" w:rsidP="00000000" w:rsidRDefault="00000000" w:rsidRPr="00000000" w14:paraId="00000095">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 Ważny certyfikat zgodności zakładowej kontroli produkcji oraz aktualną deklarację właściwości użytkowych na prefabrykowane elementy betonowe – prętowe elementy konstrukcyjne wydany przez jednostkę posiadającą stosowne uprawnienia zgodne z obowiązującymi przepisami.</w:t>
      </w:r>
    </w:p>
    <w:p w:rsidR="00000000" w:rsidDel="00000000" w:rsidP="00000000" w:rsidRDefault="00000000" w:rsidRPr="00000000" w14:paraId="00000096">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Ważny certyfikat zgodności zakładowej kontroli produkcji oraz aktualną deklarację właściwości użytkowych na prefabrykowane elementy betonowe – schody wydany przez jednostkę posiadającą stosowne uprawnienia zgodne z obowiązującymi przepisami.</w:t>
      </w:r>
    </w:p>
    <w:p w:rsidR="00000000" w:rsidDel="00000000" w:rsidP="00000000" w:rsidRDefault="00000000" w:rsidRPr="00000000" w14:paraId="00000097">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Ważny certyfikat zgodności zakładowej kontroli produkcji oraz aktualną deklarację właściwości użytkowych na prefabrykowane elementy betonowe – płyty stropowe do zespolonych systemów stropowych wydany przez jednostkę posiadającą stosowne uprawnienia zgodne z obowiązującymi przepisami.</w:t>
      </w:r>
    </w:p>
    <w:p w:rsidR="00000000" w:rsidDel="00000000" w:rsidP="00000000" w:rsidRDefault="00000000" w:rsidRPr="00000000" w14:paraId="00000098">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Jeżeli Wykonawca nie złoży przedmiotowych środków dowodowych lub złożone przedmiotowe środki dowodowe będą niekompletne (w szczególności nie potwierdzając w ten sposób równoważności oferty w zakresie opisanym w opisie przedmiotu zamówienia) Zamawiający nie będzie wzywał do ich złożenia lub uzupełnienia.</w:t>
      </w:r>
    </w:p>
    <w:p w:rsidR="00000000" w:rsidDel="00000000" w:rsidP="00000000" w:rsidRDefault="00000000" w:rsidRPr="00000000" w14:paraId="00000099">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after="0" w:line="240" w:lineRule="auto"/>
        <w:ind w:left="426"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Zamawiający przewiduje możliwość unieważnienia postępowania o udzielenie zamówienia, jeżeli środki publiczne, które zamawiający zamierzał przeznaczyć na sfinansowanie całości lub części zamówienia, nie zostały mu przyznane.</w:t>
      </w:r>
    </w:p>
    <w:p w:rsidR="00000000" w:rsidDel="00000000" w:rsidP="00000000" w:rsidRDefault="00000000" w:rsidRPr="00000000" w14:paraId="0000009B">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Najpóźniej na 3 dni przed planowanym terminem dostawy materiałów i urządzeń Wykonawca dostarczy Zamawiającemu wszystkie wymagane kopie certyfikatów, kart charakterystyki / kart katalogowych materiałów i urządzeń.</w:t>
      </w:r>
      <w:r w:rsidDel="00000000" w:rsidR="00000000" w:rsidRPr="00000000">
        <w:rPr>
          <w:rtl w:val="0"/>
        </w:rPr>
        <w:t xml:space="preserve"> </w:t>
      </w:r>
      <w:r w:rsidDel="00000000" w:rsidR="00000000" w:rsidRPr="00000000">
        <w:rPr>
          <w:rFonts w:ascii="Arial" w:cs="Arial" w:eastAsia="Arial" w:hAnsi="Arial"/>
          <w:sz w:val="22"/>
          <w:szCs w:val="22"/>
          <w:rtl w:val="0"/>
        </w:rPr>
        <w:t xml:space="preserve">Wszystkie dostarczone materiały i urządzenia przed ich wbudowaniem będą podlegały akceptacji ze strony Zamawiającego. Dopiero po uzyskaniu akceptacji Zamawiającego Wykonawca może dokonać wbudowania materiałów i urządzeń. W przypadku braku realizacji powyższej procedury Wykonawca na własny koszt zobowiązany będzie do usunięcia wbudowanych materiałów i urządzeń.</w:t>
      </w:r>
    </w:p>
    <w:p w:rsidR="00000000" w:rsidDel="00000000" w:rsidP="00000000" w:rsidRDefault="00000000" w:rsidRPr="00000000" w14:paraId="0000009D">
      <w:pPr>
        <w:spacing w:after="0" w:line="240" w:lineRule="auto"/>
        <w:ind w:left="426"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Opis części zamówienia, jeżeli zamawiający dopuszcza składanie ofert częściowych:</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Oferta musi obejmować całość zamówienia, Zamawiający nie dopuszcza możliwości składania ofert częściowych.</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Oferta częściowa stanowić będzie ofertę o treści niezgodnej z warunkami zamówienia i zostanie odrzucona, zgodnie z art. 226 ust. 1 pkt 5 ustawy Pzp.</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Powody niedokonania podziału zamówienia na części:</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Zadanie ma charakter jednorodny, tzn. wskazane w dokumentacji projektowej prace budowlane są ze sobą wzajemnie powiązane i służą jednemu wspólnemu celowi którym jest budowa budynku na cele mieszkaniowe. Podział zamówienia na części groziłby nadmiernymi trudnościami technicznymi gdyż taki stan rzeczy mógłby spowodować potrzebę podjęcia dodatkowych czynności przez Zamawiającego celem skoordynowania działań różnych wykonawców np. różne terminy: przekazania, odbiorów, uzyskania pozwolenia na użytkowanie itp. - potrzeba skoordynowania działań różnych Wykonawców realizujących poszczególne części zamówienia mogłaby mieć negatywny wpływ na jakość produktu końcowego oraz spowodować opóźnienie w realizacji przedmiotu zamówienia oraz zwiększyć koszty ponoszone przez Zamawiającego w zakresie koordynacji. Brak kompleksowej realizacji zamówienia, mógłby zagrozić właściwemu jej wykonaniu. Dodatkowo, brak jednej gwarancji dla całej inwestycji mógłby nie zagwarantować wyegzekwowania odpowiedzialności dla całej inwestycji, gdyż każdy wykonawca dla swojej części udzieliłby odrębnej gwarancji jakości.</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 podzielenie przedmiotu zamówienia nie wpłynie na zwiększenie konkurencji między Wykonawcami.</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Ponadto, mając na uwadze ograniczoną przestrzeń na prowadzenie robót wynikającą z zatwierdzonej tymczasowej organizacji ruchu, podział zamówienia groziłby nadmiernymi trudnościami technicznymi w jego realizacji.</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 rynku funkcjonuje bardzo wielu wykonawców zainteresowanych zbliżonymi do przedmiotowego kontraktami, którzy spełniają warunki udziału w postępowaniu.</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379 § 2 kodeksu cywilnego: “świadczenie jest podzielne, jeżeli może być spełnione częściowo bez istotnej zmiany przedmiotu lub wartości”.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Motyw nr 78 Dyrektywy 2014/24/UE z 26.02.2014 r.: „Zamówienia publiczne powinny być dostosowane do potrzeb MŚP. (…) Przyczynami braku podziału zamówienia na części mogą być: ograniczenie konkurencji lub nadmierne trudności techniczne lub nadmierne koszty wykonania zamówienia, lub też  potrzeba skoordynowania działań różnych wykonawców realizujących poszczególne części zamówienia, które mogłyby poważnie zagrozić właściwemu wykonaniu zamówienia”.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25 ust. 2 Pzp: „Zamówienie jest niepodzielne na części, jeżeli ze względów technicznych, organizacyjnych lub ekonomicznych tworzy nierozerwalną całość”.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Mając powyższe na uwadze należy uznać, iż świadczenie nie może zostać spełnione częściowo bez istotnej zmiany przedmiotu, a to oznacza, iż należy je traktować jako jedną całość, a ewentualny podział niniejszego zadania byłby wręcz szkodliwy, ponieważ spowodowałby nadmierne trudności techniczne, a przede wszystkim zwiększone koszty wykonania zamówienia - odnosi się to do sytuacji, gdyby roboty budowlane objęte przedmiotowym zamówieniem wykonywane były przez kilku Wykonawców na podstawie odrębnych umów. Dodatkowo spowodowałoby konieczność podjęcia dodatkowych działań ze strony Zamawiającego w celu skoordynowania działań różnych wykonawców. Brak kompleksowej realizacji zamówienia mógłby zagrozić właściwemu jej wykonaniu, a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Poza tym przedmiot niniejszego zamówienia ze względów technicznych i organizacyjnych tworzy nierozerwalną całość, a więc zgodnie z art. 25 ust. 2 Pzp jest zamówieniem niepodzielnym na części.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Ponadto przedmiot niniejszego zamówienia co do zasady jest realizowany przez przedsiębiorców stanowiących małe lub średnie przedsiębiorstwa, w związku z tym podział zamówienia na części nie jest konieczny (zasadny).</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Nie dotyczy – Zamawiający nie dopuszcza do składania ofert częściowych.</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dotyczące ofert wariantowych, w tym informacje o sposobie przedstawiania ofert wariantowych oraz minimalne warunki, jakim muszą odpowiadać oferty wariantowe, jeżeli zamawiający wymaga lub dopuszcza ich składanie: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Nie dotyczy – Zamawiający nie wymaga ani nie dopuszcza do składania ofert wariantowych.</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Wymagania w zakresie zatrudnienia na podstawie stosunku pracy, w okolicznościach, o których mowa w art. 95:</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wymaga zatrudnienia przez wykonawcę, podwykonawcę lub dalszego podwykonawcę na podstawie stosunku pracy osób wykonujących 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Obowiązek zatrudnienia na podstawie umowy o pracę nie dotyczy sytuacji, w której wykonawca, podwykonawca lub dalszy podwykonawca osobiście wykonuje powyższe czynności (np. osoba fizyczna prowadząca działalność gospodarczą, wspólnicy spółki cywilnej).</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bookmarkStart w:colFirst="0" w:colLast="0" w:name="_2et92p0" w:id="5"/>
      <w:bookmarkEnd w:id="5"/>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Wymagania w zakresie zatrudnienia osób, o których mowa w art. 96 ust. 2 pkt 2 ustawy Pzp, jeżeli zamawiający przewiduje takie wymagania:</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wymagań, o których mowa w art. 96 ust. 2 pkt 2 ustawy Pzp.</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zastrzeżeniu możliwości ubiegania się o udzielenie zamówienia wyłącznie przez wykonawców, o których mowa w art. 94, jeżeli zamawiający przewiduje takie wymagania:</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takich wymagań, o których mowa w art. 94 ustawy Pzp.</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bookmarkStart w:colFirst="0" w:colLast="0" w:name="_tyjcwt" w:id="6"/>
      <w:bookmarkEnd w:id="6"/>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przewidywanych zamówieniach, o których mowa w art. 214 ust. 1 pkt 7 i 8 ustawy Pzp, jeżeli zamawiający przewiduje udzielenie takich zamówień:</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udzielenia zamówień o których mowa w art. 214 ust. 1 pkt 7 i 8 ustawy Pzp.</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bookmarkStart w:colFirst="0" w:colLast="0" w:name="_3dy6vkm" w:id="7"/>
      <w:bookmarkEnd w:id="7"/>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Zamawiający wymaga odbycia przez Wykonawców wizji lokalnej.</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ustawą Pzp, w przypadku gdy zamawiający przewiduje możliwość albo, jeżeli jest to konieczne ze względu na specyfikę przedmiotu zamówienia, wymaga złożenia oferty po odbyciu przez wykonawcę wizji lokalnej wyznacza terminy składania ofert z uwzględnieniem czasu niezbędnego do zapoznania się przez wykonawców z informacjami koniecznymi do przygotowania oferty, z tym że terminy te muszą być dłuższe od ustawowych terminów minimalnych, o ile są one określone.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226 ust. 1 pkt 18 ustawy Pzp, Zamawiający odrzuca ofertę, jeżeli została złożo-na bez odbycia wizji lokalnej, w przypadku gdy zamawiający tego wymagał w dokumentach zamówienia.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obowiązku osobistego wykonania przez wykonawcę kluczowych zadań, jeżeli zamawiający dokonuje takiego zastrzeżenia zgodnie z art. 60 i art. 121:</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nakłada obowiązku osobistego wykonania kluczowych zadań przez wykonawcę.</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Termin wykonania zamówienia:</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Zamówienie należy zrealizować w terminie do 12 miesięcy od dnia zawarcia umowy.</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Projektowane postanowienia umowy w sprawie zamówienia publicznego, które zostaną wprowadzone do treści tej umowy:</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Projektowane postanowienia umowy w sprawie zamówienia publicznego, które zostaną wprowadzone do treści tej umowy zawiera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3 do SWZ.</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składając ofertę akceptuje projektowane postanowienia umowy w sprawie zamówienia publicznego, które zostaną wprowadzone do treści tej umowy. Postanowienia umowy ustalone we Wzorze nie podlegają zmianie przez Wykonawcę.</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przewiduje możliwość zmian postanowień zawartej umowy w oparciu o art. 455 ust. 1 pkt 1 ustawy Pzp w stosunku do treści oferty, na podstawie której dokonano wyboru Wykonawcy, zgodnie z warunkami zawartymi w ww. załączniku do SWZ.</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Zmiana umowy może także nastąpić w innych przypadkach, o których mowa w ustawie Pzp.</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o środkach komunikacji elektronicznej, przy użyciu których zamawiający będzie komunikował się z wykonawcami, oraz informacje o wymaganiach technicznych i organizacyjnych sporządzania, wysyłania i odbierania korespondencji elektronicznej:</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przedmiotowym postępowaniu komunikacja między Zamawiającym a Wykonawcami, w szczególności składanie oświadczeń, wniosków, zawiadomień, zapytań oraz przekazywanie informacji odbywa się drogą elektroniczną przy użyciu Platformy Zakupowej, o której mowa w pkt 1 SWZ.</w:t>
      </w:r>
    </w:p>
    <w:p w:rsidR="00000000" w:rsidDel="00000000" w:rsidP="00000000" w:rsidRDefault="00000000" w:rsidRPr="00000000" w14:paraId="000000D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sytuacjach awaryjnych, np. w przypadku niedziałania Platformy Zakupowej, Zamawiający może również komunikować się z Wykonawcami za pomocą poczty elektronicznej (e-mail: </w:t>
      </w:r>
      <w:hyperlink r:id="rId12">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zamowienia@simzaglebie.pl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będzie przekazywał Wykonawcom informacje w formie elektronicznej za pośrednictwem Platformy Zakupowej. Kierowane do wszystkich Wykonawców informacje Zamawiający będzie zamieszczał na Platformie Zakupowej. Korespondencję, której adresatem jest konkretny Wykonawca, Zamawiający będzie przekazywał temu Wykonawcy w formie elektronicznej za pośrednictwem Platformy Zakupowej, z zastrzeżeniem ppkt 2.</w:t>
      </w:r>
    </w:p>
    <w:p w:rsidR="00000000" w:rsidDel="00000000" w:rsidP="00000000" w:rsidRDefault="00000000" w:rsidRPr="00000000" w14:paraId="000000D6">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przystępując do niniejszego postępowania o udzielenie zamówienia publicznego, akceptuje warunki korzystania z Platformy Zakupowej, określone w Regulaminie Platformy Zakupowej zawartych na stronie </w:t>
      </w:r>
      <w:hyperlink r:id="rId13">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https://platformazakupowa.pl/strona/1-regulamin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oraz zobowiązuje się korzystając z Platformy Zakupowej do przestrzegania postanowień tego regulaminu oraz zapoznania z instrukcjami dla Wykonawców zawartych na stronie </w:t>
      </w:r>
      <w:hyperlink r:id="rId14">
        <w:r w:rsidDel="00000000" w:rsidR="00000000" w:rsidRPr="00000000">
          <w:rPr>
            <w:rFonts w:ascii="Arial" w:cs="Arial" w:eastAsia="Arial" w:hAnsi="Arial"/>
            <w:b w:val="0"/>
            <w:i w:val="0"/>
            <w:smallCaps w:val="0"/>
            <w:strike w:val="0"/>
            <w:color w:val="4472c4"/>
            <w:sz w:val="22"/>
            <w:szCs w:val="22"/>
            <w:u w:val="single"/>
            <w:shd w:fill="auto" w:val="clear"/>
            <w:vertAlign w:val="baseline"/>
            <w:rtl w:val="0"/>
          </w:rPr>
          <w:t xml:space="preserve">https://platformazakupowa.pl/strona/45-instrukcje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informuje, że wymagania techniczne i organizacyjne sporządzania, wysyłania i odbierania korespondencji elektronicznej opisane zostały w Regulaminie korzystania z Platformy Zakupowej dostępnej pod adresem </w:t>
      </w:r>
      <w:hyperlink r:id="rId15">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https://platformazakupowa.pl/strona/1-regulamin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oraz w instrukcjach dla Wykonawców zawartych na stronie </w:t>
      </w:r>
      <w:hyperlink r:id="rId16">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https://platformazakupowa.pl/strona/45-instrukcje</w:t>
        </w:r>
      </w:hyperlink>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Sposób przygotowania dokumentów elektronicznych oraz komunikacja między Zamawiającym a Wykonawcą muszą być zgodne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2020r., poz. 2452) oraz Rozporządzeniem Ministra Rozwoju, Pracy i Technologii z dnia 23 grudnia 2020 r. w sprawie podmiotowych środków dowodowych oraz innych dokumentów lub oświadczeń, jakich może żądać zamawiający od wykonawcy (Dz. U. z 2020 poz. 2415).</w:t>
      </w:r>
    </w:p>
    <w:p w:rsidR="00000000" w:rsidDel="00000000" w:rsidP="00000000" w:rsidRDefault="00000000" w:rsidRPr="00000000" w14:paraId="000000D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Wsparcia technicznego w zakresie działania Platformy Zakupowej udziela jej dostawca, tj. Open Nexus Sp. z o.o., ul. Bolesława Krzywoustego 3, 61-144 Poznań - Centrum Wsparcia Klienta (pon. - pt. 8:00-17:00) 22 101 02 02, e-mail: </w:t>
      </w:r>
      <w:hyperlink r:id="rId1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cwk@platformazakupowa.pl</w:t>
        </w:r>
      </w:hyperlink>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korespondencji kierowanej do Zamawiającego Wykonawcy powinni posługiwać się numerem przedmiotowego postępowania.</w:t>
      </w:r>
    </w:p>
    <w:p w:rsidR="00000000" w:rsidDel="00000000" w:rsidP="00000000" w:rsidRDefault="00000000" w:rsidRPr="00000000" w14:paraId="000000D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informuje, iż w przypadku przesyłania przez Wykonawcę dokumentów elektronicznych skompresowanych (w tym oferty przetargowej) dopuszczone są wyłącznie formaty danych wskazane w Rozporządzeniu Rady Ministrów z dnia 12 kwietnia 2012 r. (tj. Dz. U. z 2017 r., poz. 2247) w sprawie Krajowych Ram Interoperacyjności, minimalnych wymagań dla rejestrów publicznych i wymiany informacji w postaci elektronicznej oraz minimalnych wymagań dla systemów teleinformatycznych.</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bookmarkStart w:colFirst="0" w:colLast="0" w:name="_1t3h5sf" w:id="8"/>
      <w:bookmarkEnd w:id="8"/>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o sposobie komunikowania się zamawiającego z wykonawcami w inny sposób niż przy użyciu środków komunikacji elektronicznej w przypadku zaistnienia jednej z sytuacji określonych w art. 65 ust. 1, art. 66 i art. 69:</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Nie dotyczy – Zamawiający nie przewiduje komunikacji z Wykonawcami w inny sposób niż przy użyciu środków komunikacji elektronicznej.</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Wskazanie osób uprawnionych do komunikowania się z wykonawcami oraz opis sposobu udzielania wyjaśnień treści SWZ:</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Osoby wskazane do porozumiewania się z wykonawcami: </w:t>
      </w:r>
    </w:p>
    <w:p w:rsidR="00000000" w:rsidDel="00000000" w:rsidP="00000000" w:rsidRDefault="00000000" w:rsidRPr="00000000" w14:paraId="000000E2">
      <w:pPr>
        <w:spacing w:after="0" w:line="240" w:lineRule="auto"/>
        <w:ind w:right="1534" w:firstLine="406"/>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w zakresie dotyczącym przedmiotu zamówienia:</w:t>
      </w:r>
    </w:p>
    <w:p w:rsidR="00000000" w:rsidDel="00000000" w:rsidP="00000000" w:rsidRDefault="00000000" w:rsidRPr="00000000" w14:paraId="000000E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146" w:right="1534" w:hanging="437"/>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Marcin Szymczyk tel. +48 500 408 604</w:t>
      </w:r>
    </w:p>
    <w:p w:rsidR="00000000" w:rsidDel="00000000" w:rsidP="00000000" w:rsidRDefault="00000000" w:rsidRPr="00000000" w14:paraId="000000E4">
      <w:pPr>
        <w:spacing w:after="0" w:line="240" w:lineRule="auto"/>
        <w:ind w:right="1534" w:firstLine="406"/>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w zakresie dotyczącym zagadnień proceduralnych:</w:t>
      </w:r>
    </w:p>
    <w:p w:rsidR="00000000" w:rsidDel="00000000" w:rsidP="00000000" w:rsidRDefault="00000000" w:rsidRPr="00000000" w14:paraId="000000E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146" w:right="1534" w:hanging="437"/>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Marcin Szymczyk tel. +48 500 408 604.</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Opis sposobu udzielania wyjaśnień treści SWZ:</w:t>
      </w:r>
    </w:p>
    <w:p w:rsidR="00000000" w:rsidDel="00000000" w:rsidP="00000000" w:rsidRDefault="00000000" w:rsidRPr="00000000" w14:paraId="000000E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może zwrócić się do zamawiającego z wnioskiem o wyjaśnienie treści SWZ, kierując swoje zapytania do zamawiającego poprzez stronę internetową prowadzonego postepowania </w:t>
      </w:r>
      <w:hyperlink r:id="rId1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https://platformazakupowa.pl/pn/simzaglebie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 zakładce “Wyślij wiadomość do zamawiającego”.</w:t>
      </w:r>
    </w:p>
    <w:p w:rsidR="00000000" w:rsidDel="00000000" w:rsidP="00000000" w:rsidRDefault="00000000" w:rsidRPr="00000000" w14:paraId="000000E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rsidR="00000000" w:rsidDel="00000000" w:rsidP="00000000" w:rsidRDefault="00000000" w:rsidRPr="00000000" w14:paraId="000000E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zamawiający nie udzieli wyjaśnień w terminie, o którym mowa w ppkt. 2, przedłuża termin składania ofert o czas niezbędny do zapoznania się wszystkich zainteresowanych wykonawców z wyjaśnieniami niezbędnymi do należytego przygotowania i złożenia ofert.</w:t>
      </w:r>
    </w:p>
    <w:p w:rsidR="00000000" w:rsidDel="00000000" w:rsidP="00000000" w:rsidRDefault="00000000" w:rsidRPr="00000000" w14:paraId="000000E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wniosek o wyjaśnienie treści SWZ nie wpłynął w terminie, o którym mowa w ppkt. 2, zamawiający nie ma obowiązku udzielania wyjaśnień SWZ oraz obowiązku przedłużenia terminu składania ofert.</w:t>
      </w:r>
    </w:p>
    <w:p w:rsidR="00000000" w:rsidDel="00000000" w:rsidP="00000000" w:rsidRDefault="00000000" w:rsidRPr="00000000" w14:paraId="000000E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Przedłużenie terminu składania ofert, o których mowa w ppkt. 4, nie wpływa na bieg terminu składania wniosku o wyjaśnienie treści SWZ.</w:t>
      </w:r>
    </w:p>
    <w:p w:rsidR="00000000" w:rsidDel="00000000" w:rsidP="00000000" w:rsidRDefault="00000000" w:rsidRPr="00000000" w14:paraId="000000E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Treść zapytań wraz z wyjaśnieniami zamawiający udostępnia, bez ujawniania źródła zapytania, na stronie internetowej prowadzonego postępowania, a w przypadkach, o których mowa w art. 280 ust. 2 i 3 ustawy Pzp, przekazuje wykonawcom, którym udostępnił SWZ.</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Termin związania ofertą:</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 dni od dnia upływu terminu składania ofert przy czym pierwszym dniem terminu związania ofertą jest dzień, w którym upływa termin składania ofert, tj. do dnia 27.07.2024 r.</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Wymagania dotyczące wadium, w tym jego kwotę, jeżeli zamawiający przewiduje obowiązek wniesienia wadium:</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wymaga wniesienia wadium.</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Wadium w kwocie 200 000,00 zł (słownie: dwieście tysięcy złotych) Wykonawca winien wnieść przed upływem terminu składania ofert i utrzymywać nieprzerwanie do dnia upływu terminu związania ofertą, z wyjątkiem przypadków, o których mowa w art. 98 ust. 1 pkt 2 i 3 oraz ust. 2 ustawy Pzp. Przedłużenie terminu związania ofertą jest dopuszczalne tylko z jednoczesnym przedłużeniem okresu ważności wadium albo, jeżeli nie jest to możliwe, z wniesieniem nowego wadium na przedłużony okres związania ofertą.</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Wadium może być wnoszone według wyboru wykonawcy w jednej lub kilku następujących formach:</w:t>
      </w:r>
    </w:p>
    <w:p w:rsidR="00000000" w:rsidDel="00000000" w:rsidP="00000000" w:rsidRDefault="00000000" w:rsidRPr="00000000" w14:paraId="000000F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pieniądzu, przelewem na numer rachunku bankowego </w:t>
      </w:r>
      <w:r w:rsidDel="00000000" w:rsidR="00000000" w:rsidRPr="00000000">
        <w:rPr>
          <w:rFonts w:ascii="Helvetica Neue" w:cs="Helvetica Neue" w:eastAsia="Helvetica Neue" w:hAnsi="Helvetica Neue"/>
          <w:b w:val="1"/>
          <w:i w:val="0"/>
          <w:smallCaps w:val="0"/>
          <w:strike w:val="0"/>
          <w:color w:val="222222"/>
          <w:sz w:val="20"/>
          <w:szCs w:val="20"/>
          <w:highlight w:val="white"/>
          <w:u w:val="none"/>
          <w:vertAlign w:val="baseline"/>
          <w:rtl w:val="0"/>
        </w:rPr>
        <w:t xml:space="preserve">25 1130 1091 0003 9146 4520 0004</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Wadium w tej formie uważa się za wniesione w sposób prawidłowy, gdy środki pieniężne wpłyną na konto Zamawiającego przed upływem terminu składnia ofert.</w:t>
      </w:r>
    </w:p>
    <w:p w:rsidR="00000000" w:rsidDel="00000000" w:rsidP="00000000" w:rsidRDefault="00000000" w:rsidRPr="00000000" w14:paraId="000000F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gwarancjach bankowych;</w:t>
      </w:r>
    </w:p>
    <w:p w:rsidR="00000000" w:rsidDel="00000000" w:rsidP="00000000" w:rsidRDefault="00000000" w:rsidRPr="00000000" w14:paraId="000000F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gwarancjach ubezpieczeniowych;</w:t>
      </w:r>
    </w:p>
    <w:p w:rsidR="00000000" w:rsidDel="00000000" w:rsidP="00000000" w:rsidRDefault="00000000" w:rsidRPr="00000000" w14:paraId="000000F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poręczeniach udzielanych przez podmioty, o których mowa w art. 6b ust. 5 pkt 2 ustawy z dnia 9 listopada 2000 r. o utworzeniu Polskiej Agencji Rozwoju Przedsiębiorczości (Dz. U. z 2020 r. poz. 299 oraz z 2022 r. poz. 807 i 1079).</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wadium jest wnoszone w formie gwarancji lub poręczenia, o których mowa w ppkt 2–4 powyżej, wykonawca przekazuje zamawiającemu oryginał gwarancji lub poręczenia, w postaci elektronicznej. Wadium wnoszone w tej formie należy złożyć wraz z ofertą poprzez Platformę Zakupową w wydzielonym, odrębnym pliku.</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Treść dokumentu wadialnego musi zapewniać możliwość zaspokojenia interesów Zamawiającego - uzyskanie zagwarantowanej zapłaty wadium musi obejmować wszystkie wskazane w art. 98 ust. 6 ustawy Pzp przesłanki zatrzymania wadium.</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Dopuszcza się, aby wadium zostało wniesione przez pełnomocnika (lidera) lub jednego z Wykonawców wspólnie ubiegających się o udzielenie zamówienia.</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zwraca wadium niezwłocznie, nie później jednak niż w terminie 7 dni od dnia wystąpienia jednej z okoliczności wskazanych w art. 98 ust. 1 pkt 1-3 ustawy Pzp.</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niezwłocznie, nie później jednak niż w terminie 7 dni od dnia złożenia wniosku zwraca wadium Wykonawcy:</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który wycofał ofertę przed upływem terminu składania ofert;</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tab/>
        <w:t xml:space="preserve">którego oferta została odrzucona;</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tab/>
        <w:t xml:space="preserve">po wyborze najkorzystniejszej oferty, z wyjątkiem Wykonawcy, którego oferta została wybrana jako najkorzystniejsza;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tab/>
        <w:t xml:space="preserve">po unieważnieniu postępowania, w przypadku gdy nie zostało rozstrzygnięte odwołanie na czynność unieważnienia albo nie upłynął termin do jego wniesienia.</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Złożenie wniosku o zwrot wadium, powoduje rozwiązanie stosunku prawnego z Wykonawcą wraz z utratą przez niego prawa do korzystania ze środków ochrony prawnej, o których mowa w ustawie Pzp i SWZ.</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zatrzymuje wadium wraz z odsetkami, a w przypadku wadium wniesionego w formie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gwarancji lub poręczenia, występuje odpowiednio do gwaranta lub poręczyciela z żądaniem zapłaty wadium, jeżeli:</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tab/>
        <w:t xml:space="preserve">Wykonawca, którego oferta została wybrana:</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9999999999999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odmówił podpisania umowy w sprawie zamówienia publicznego na warunkach określonych w ofercie;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9999999999999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nie wniósł wymaganego zabezpieczenia należytego wykonania umowy;</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tab/>
        <w:t xml:space="preserve">Zawarcie umowy w sprawie zamówienia publicznego stało się niemożliwe z przyczyn leżących po stronie Wykonawcy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którego oferta została wybrana.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Opis sposobu przygotowania oferty:</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Oferta musi obejmować całość przedmiotu zamówienia i być sporządzona w języku polskim zgodnie z wymogami niniejszej SWZ.</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Ofertę należy sporządzić na Formularzu oferty stanowiącym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lub zgodnie ze wzorem ww. Formularza oferty.</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Treść pól aktywnego formularza Platformy uzupełnianych przez Wykonawcę w toku składania oferty poprzez Platformę nie stanowią oferty w rozumieniu ustawy Pzp. Automatyczne komunikaty Platformy nie stanowią czynności Zamawiającego w rozumieniu Pzp.</w:t>
      </w:r>
    </w:p>
    <w:p w:rsidR="00000000" w:rsidDel="00000000" w:rsidP="00000000" w:rsidRDefault="00000000" w:rsidRPr="00000000" w14:paraId="0000011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Wraz z ofertą należy złożyć:</w:t>
      </w:r>
    </w:p>
    <w:p w:rsidR="00000000" w:rsidDel="00000000" w:rsidP="00000000" w:rsidRDefault="00000000" w:rsidRPr="00000000" w14:paraId="0000011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Oświadczenie, o którym mowa w art. 125 ust. 1 ustawy Pzp, o niepodleganiu wykluczeniu z postępowania oraz spełnianiu warunków udziału w postępowaniu,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4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dotyczące odpowiednio:</w:t>
      </w:r>
    </w:p>
    <w:p w:rsidR="00000000" w:rsidDel="00000000" w:rsidP="00000000" w:rsidRDefault="00000000" w:rsidRPr="00000000" w14:paraId="0000011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wykonawcy;</w:t>
      </w:r>
    </w:p>
    <w:p w:rsidR="00000000" w:rsidDel="00000000" w:rsidP="00000000" w:rsidRDefault="00000000" w:rsidRPr="00000000" w14:paraId="0000011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każdego ze wspólników – w przypadku składania oferty wspólnej (konsorcjum, spółka cywilna);</w:t>
      </w:r>
    </w:p>
    <w:p w:rsidR="00000000" w:rsidDel="00000000" w:rsidP="00000000" w:rsidRDefault="00000000" w:rsidRPr="00000000" w14:paraId="000001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podmiotów udostępniających zasoby, na które powołuje się Wykonawca w celu spełnienia warunków udziału w postępowaniu.</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Oświadczenie stanowi dowód potwierdzający brak podstaw wykluczenia, na podstawie przesłanek o których mowa w pkt 25 SWZ oraz spełniania warunków udziału w postępowaniu na dzień składania ofert, tymczasowo zastępujący wymagane przez Zamawiającego podmiotowe środki dowodowe, wskazane w SWZ.</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wspólnego ubiegania się o zamówienie przez wykonawców, oświadczenie, o którym mowa w art. 125 ust. 1 ustawy Pzp, składa każdy z wykonawców. Oświadczenia te potwierdzają brak podstaw wykluczenia oraz spełnianie warunków udziału w postępowaniu w zakresie, w jakim każdy z wykonawców wykazuje spełnianie warunków udziału w postępowaniu.</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w przypadku polegania na zdolnościach lub sytuacji podmiotów udostępniających zasoby, przedstawia, wraz z oświadczeniem, o którym mowa w art. 125 ust. 1 ustawy Pzp, także oświadczenie podmiotu udostępniającego zasoby, potwierdzające brak podstaw wykluczenia tego podmiotu oraz odpowiednio spełnianie warunków udziału w postępowaniu, w zakresie, w jakim wykonawca powołuje się na jego zasoby.</w:t>
      </w:r>
    </w:p>
    <w:p w:rsidR="00000000" w:rsidDel="00000000" w:rsidP="00000000" w:rsidRDefault="00000000" w:rsidRPr="00000000" w14:paraId="0000011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Pełnomocnictwo ustanowione do reprezentowania Wykonawcy/ów ubiegającego/cych się o udzielenie zamówienia publicznego (jeżeli dotyczy).</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Oferta musi być podpisana przez osobę/y upoważnioną/e do reprezentowania Wykonawcy. Upoważnienie (pełnomocnictwo) do podpisania oferty, do poświadczania dokumentów za zgodność z oryginałem należy dołączyć do oferty, o ile to upoważnienie (pełnomocnictwo) nie wynika z dokumentów rejestrowych Wykonawcy (stwierdzających status prawny wykonawcy), których Zamawiający nie może uzyskać za pomocą bezpłatnych i ogólnodostępnych baz danych.</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Wykonawcy, zgodnie z art. 58 ust. 1 ustawy Pzp, mogą wspólnie ubiegać się o udzielenie zamówienia (tzw. konsorcjum). W takim przypadku, wykonawcy ustanawiają pełnomocnika do reprezentowania ich w postępowaniu o udzielenie zamówienia albo do reprezentowania w postępowaniu i zawarcia umowy w sprawie zamówienia publicznego.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oferty należy dołączyć stosowne pełnomocnictwo, podpisane przez osoby upoważnione do składania oświadczeń woli każdego z Wykonawców.</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Wszelka korespondencja prowadzona będzie wyłącznie z podmiotem występującym jako pełnomocnik Wykonawców wspólnie ubiegających się o udzielenie zamówienia.</w:t>
      </w:r>
    </w:p>
    <w:p w:rsidR="00000000" w:rsidDel="00000000" w:rsidP="00000000" w:rsidRDefault="00000000" w:rsidRPr="00000000" w14:paraId="0000011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(w przypadku, gdy Wykonawca korzysta ze zdolności innych podmiotów na zasadach określonych w art. 118 ustawy Pzp –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jeżeli dotyczy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5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118 ust. 4 ustawy Pzp zobowiązanie podmiotu udostępniającego zasoby musi potwierdzać, że stosunek łączący wykonawcę z podmiotami udostępniającymi zasoby gwarantuje rzeczywisty dostęp do tych zasobów oraz musi określać w szczególności:</w:t>
      </w:r>
    </w:p>
    <w:p w:rsidR="00000000" w:rsidDel="00000000" w:rsidP="00000000" w:rsidRDefault="00000000" w:rsidRPr="00000000" w14:paraId="0000012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zakres dostępnych wykonawcy zasobów podmiotu udostępniającego zasoby;</w:t>
      </w:r>
    </w:p>
    <w:p w:rsidR="00000000" w:rsidDel="00000000" w:rsidP="00000000" w:rsidRDefault="00000000" w:rsidRPr="00000000" w14:paraId="0000012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sposób i okres udostępnienia wykonawcy i wykorzystania przez niego zasobów podmiotu udostępniającego te zasoby przy wykonywaniu zamówienia;</w:t>
      </w:r>
    </w:p>
    <w:p w:rsidR="00000000" w:rsidDel="00000000" w:rsidP="00000000" w:rsidRDefault="00000000" w:rsidRPr="00000000" w14:paraId="0000012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000000" w:rsidDel="00000000" w:rsidP="00000000" w:rsidRDefault="00000000" w:rsidRPr="00000000" w14:paraId="0000012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Oświadczenie, o którym mowa w art. 117 ust. 4 ustawy Pzp, z którego wynika, które roboty budowlane, dostawy lub usługi wykonają poszczególni wykonawcy – odnosi się do Wykonawców wspólnie ubiegających się o udzielenie zamówienia –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jeżeli dotyczy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6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Przedmiotowe środki dowodowe, o których mowa w pkt 5 SWZ.</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107 ust. 1 ustawy Pzp „Jeżeli zamawiający żąda złożenia przedmiotowych środków dowodowych, wykonawca składa je wraz z ofertą”.</w:t>
      </w:r>
    </w:p>
    <w:p w:rsidR="00000000" w:rsidDel="00000000" w:rsidP="00000000" w:rsidRDefault="00000000" w:rsidRPr="00000000" w14:paraId="0000012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Dowód wniesienia wadium (jeżeli dotyczy).</w:t>
      </w:r>
    </w:p>
    <w:p w:rsidR="00000000" w:rsidDel="00000000" w:rsidP="00000000" w:rsidRDefault="00000000" w:rsidRPr="00000000" w14:paraId="0000012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270" w:right="0" w:hanging="42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Wypełnione kosztorysy ofertowe - opatrzone kwalifikowanym podpisem elektronicznym, podpisem zaufanym lub podpisem osobistym.</w:t>
      </w:r>
    </w:p>
    <w:p w:rsidR="00000000" w:rsidDel="00000000" w:rsidP="00000000" w:rsidRDefault="00000000" w:rsidRPr="00000000" w14:paraId="0000012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51"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274 ust. 1 ustawy Pzp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Podmiotowe środki dowodowe, o których mowa w pkt 27 SWZ:</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informacja z Krajowego Rejestru Karnego,</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oświadczenie wykonawcy, w zakresie art. 108 ust. 1 pkt 5 ustawy Pzp o braku przynależności do tej samej grupy kapitałowej,</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oświadczenie wykonawcy o aktualności informacji zawartych w oświadczeniu, o którym mowa w art. 125 ust. 1 ustawy Pzp, w zakresie podstaw wykluczenia z po-stępowania wskazanych przez zamawiającego, o których mowa w:</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43"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art. 108 ust. 1 pkt 3 ustawy Pzp,</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43"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art. 108 ust. 1 pkt 4 ustawy Pzp, dotyczących orzeczenia zakazu ubiegania się o zamówienie publiczne tytułem środka zapobiegawczego,</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43"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art. 108 ust. 1 pkt 5 ustawy Pzp, dotyczących zawarcia z innymi wykonawcami porozumienia mającego na celu zakłócenie konkurencji,</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43"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art. 108 ust. 1 pkt 6 ustawy Pzp,</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43"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art. 109 ust. 1 pkt 5 i 7 ustawy Pzp,</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informacji banku lub spółdzielczej kasy oszczędnościowo-kredytowej potwierdzającej wysokość posiadanych środków finansowych lub zdolność kredytową wykonawcy,</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Wykaz robót budowlanych,</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Wykaz osób.</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274 ust. 4 ustawy Pzp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nie jest zobowiązany do złożenia podmiotowych środków dowodowych, które zamawiający posiada, jeżeli Wykonawca wskaże te środki oraz potwierdzi ich prawidłowość i aktualność.</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Oświadczenia i dokumenty potwierdzające brak podstaw do wykluczenia z postępowania składa każdy z Wykonawców wspólnie ubiegających się o zamówienie.</w:t>
      </w:r>
    </w:p>
    <w:p w:rsidR="00000000" w:rsidDel="00000000" w:rsidP="00000000" w:rsidRDefault="00000000" w:rsidRPr="00000000" w14:paraId="0000013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51"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Oferta winna być przygotowana zgodnie z przepisami ustawy Pzp i aktami wykonawczymi do niej, w szczególności:</w:t>
      </w:r>
    </w:p>
    <w:p w:rsidR="00000000" w:rsidDel="00000000" w:rsidP="00000000" w:rsidRDefault="00000000" w:rsidRPr="00000000" w14:paraId="0000013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Rozporządzeniem Ministra Rozwoju, Pracy i Technologii z dnia 23 grudnia 2020 r. w sprawie podmiotowych środków dowodowych oraz innych dokumentów lub oświadczeń, jakich może żądać zamawiający od wykonawcy (Dz.U. 2020 poz. 2415) – zwanego dalej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„Rozporządzeniem o dokumentach”,</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2020 poz. 2452) – zwanego dalej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„Rozporządzeniem o środkach komunikacji”,</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Rozporządzeniem Rady Ministrów z dnia 12 kwietnia 2012 r. w sprawie Krajowych Ram Interoperacyjności, minimalnych wymagań dla rejestrów publicznych i wymiany informacji w postaci elektronicznej oraz minimalnych wymagań dla systemów teleinformatycznych (tj.; Dz.U. 2017 poz. 2247) – zwanego dalej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„Rozporządzeniem w sprawie KRI”,</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63 ust. 2 ustawy Pzp w postępowaniu o udzielenie zamówienia ofertę, oświadczenie, o którym mowa w art. 125 ust. 1 ustawy Pzp, składa się, pod rygorem nieważności, w formie elektronicznej lub w postaci elektronicznej opatrzonej podpisem zaufanym lub podpisem osobistym.</w:t>
      </w:r>
    </w:p>
    <w:p w:rsidR="00000000" w:rsidDel="00000000" w:rsidP="00000000" w:rsidRDefault="00000000" w:rsidRPr="00000000" w14:paraId="0000013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zapisami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Rozporządzenia o środkach komunikacji”,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którym mowa powyżej w ppkt 4b:</w:t>
      </w:r>
    </w:p>
    <w:p w:rsidR="00000000" w:rsidDel="00000000" w:rsidP="00000000" w:rsidRDefault="00000000" w:rsidRPr="00000000" w14:paraId="0000013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 ust. 1 i 2 - wnioski o dopuszczenie do udziału w postępowaniu lub konkursie, wnioski, o których mowa w art. 371 ust. 3 ustawy Pzp, oferty, prace konkursowe, oświadczenia, o których mowa w art. 125 ust. 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pkt 1 SWZ.</w:t>
      </w:r>
    </w:p>
    <w:p w:rsidR="00000000" w:rsidDel="00000000" w:rsidP="00000000" w:rsidRDefault="00000000" w:rsidRPr="00000000" w14:paraId="0000014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 ust. 1 - dokumenty elektroniczne przekazuje się w postępowaniu przy użyciu środków komunikacji elektronicznej wskazanych przez zamawiającego w pkt 1 SWZ,</w:t>
      </w:r>
    </w:p>
    <w:p w:rsidR="00000000" w:rsidDel="00000000" w:rsidP="00000000" w:rsidRDefault="00000000" w:rsidRPr="00000000" w14:paraId="0000014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 ust. 1 –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Przez tajemnicę przedsiębiorstwa, w rozumieniu art. 11 ust. 2 ww. ustawy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informuje, iż przypadku, gdy Wykonawca zgodnie z wymogami określonymi w art. 18 ust. 3 ustawy Pzp nie wykaże, że zastrzeżone informacje stanowią tajemnicę przedsiębiorstwa, Zamawiający uzna zastrzeżenie tajemnicy za bezskuteczne, o czym poinformuje Wykonawcę.</w:t>
      </w:r>
    </w:p>
    <w:p w:rsidR="00000000" w:rsidDel="00000000" w:rsidP="00000000" w:rsidRDefault="00000000" w:rsidRPr="00000000" w14:paraId="0000014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5 - podmiotowe środki dowodowe, przedmiotowe środki dowodowe oraz inne dokumenty lub oświadczenia, sporządzone w języku obcym przekazuje się wraz z tłumaczeniem na język polski,</w:t>
      </w:r>
    </w:p>
    <w:p w:rsidR="00000000" w:rsidDel="00000000" w:rsidP="00000000" w:rsidRDefault="00000000" w:rsidRPr="00000000" w14:paraId="0000014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6 ust. 1 - 4 - 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Poświadczenia zgodności cyfrowego odwzorowania z dokumentem w postaci papierowej, o którym mowa powyżej, dokonuje w przypadku:</w:t>
      </w:r>
    </w:p>
    <w:p w:rsidR="00000000" w:rsidDel="00000000" w:rsidP="00000000" w:rsidRDefault="00000000" w:rsidRPr="00000000" w14:paraId="0000014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6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000000" w:rsidDel="00000000" w:rsidP="00000000" w:rsidRDefault="00000000" w:rsidRPr="00000000" w14:paraId="0000014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6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przedmiotowych środków dowodowych – odpowiednio wykonawca lub wykonawca wspólnie ubiegający się o udzielenie zamówienia;</w:t>
      </w:r>
    </w:p>
    <w:p w:rsidR="00000000" w:rsidDel="00000000" w:rsidP="00000000" w:rsidRDefault="00000000" w:rsidRPr="00000000" w14:paraId="0000014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6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innych dokumentów, w tym dokumentów, o których mowa w art. 94 ust. 2 ustawy Pzp – odpowiednio wykonawca lub wykonawca wspólnie ubiegający się o udzielenie zamówienia, w zakresie dokumentów, które każdego z nich dotyczą.</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1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Poświadczenia zgodności cyfrowego odwzorowania z dokumentem w postaci papierowej, o którym mowa powyżej, może dokonać również notariusz.</w:t>
      </w:r>
    </w:p>
    <w:p w:rsidR="00000000" w:rsidDel="00000000" w:rsidP="00000000" w:rsidRDefault="00000000" w:rsidRPr="00000000" w14:paraId="0000014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7 ust. 1 - 4 - podmiotowe środki dowodowe, w tym oświadczenie, o którym mowa w art. 117 ust. 4 ustawy Pzp,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 podpisem zaufanym lub podpisem osobistym.</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Poświadczenia zgodności cyfrowego odwzorowania z dokumentem w postaci papierowej dokonuje w przypadku:</w:t>
      </w:r>
    </w:p>
    <w:p w:rsidR="00000000" w:rsidDel="00000000" w:rsidP="00000000" w:rsidRDefault="00000000" w:rsidRPr="00000000" w14:paraId="0000015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560" w:right="0" w:hanging="425.99999999999994"/>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podmiotowych środków dowodowych – odpowiednio wykonawca, wykonawca wspólnie ubiegający się o udzielenie zamówienia, podmiot udostępniający zasoby lub podwykonawca, w zakresie podmiotowych środków dowodowych, które każdego z nich dotyczą;</w:t>
      </w:r>
    </w:p>
    <w:p w:rsidR="00000000" w:rsidDel="00000000" w:rsidP="00000000" w:rsidRDefault="00000000" w:rsidRPr="00000000" w14:paraId="0000015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560" w:right="0" w:hanging="425.99999999999994"/>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przedmiotowego środka dowodowego, dokumentu, o którym mowa w art. 94 ust. 2 ustawy Pzp, oświadczenia, o którym mowa w art. 117 ust. 4 ustawy Pzp, lub zobowiązania podmiotu udostępniającego zasoby – odpowiednio wykonawca lub wykonawca wspólnie ubiegający się o udzielenie zamówienia;</w:t>
      </w:r>
    </w:p>
    <w:p w:rsidR="00000000" w:rsidDel="00000000" w:rsidP="00000000" w:rsidRDefault="00000000" w:rsidRPr="00000000" w14:paraId="0000015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560" w:right="0" w:hanging="425.99999999999994"/>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pełnomocnictwa – mocodawca.</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0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Poświadczenia zgodności cyfrowego odwzorowania z dokumentem w postaci papierowej może dokonać również notariusz.</w:t>
      </w:r>
    </w:p>
    <w:p w:rsidR="00000000" w:rsidDel="00000000" w:rsidP="00000000" w:rsidRDefault="00000000" w:rsidRPr="00000000" w14:paraId="0000015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Przez cyfrowe odwzorowanie, o którym mowa w lit. e i f powyżej, należy rozumieć dokument elektroniczny będący kopią elektroniczną treści zapisanej w postaci papierowej, umożliwiający zapoznanie się z tą treścią i jej zrozumienie, bez konieczności bezpośredniego dostępu do oryginału.</w:t>
      </w:r>
    </w:p>
    <w:p w:rsidR="00000000" w:rsidDel="00000000" w:rsidP="00000000" w:rsidRDefault="00000000" w:rsidRPr="00000000" w14:paraId="0000015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8 - 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00000" w:rsidDel="00000000" w:rsidP="00000000" w:rsidRDefault="00000000" w:rsidRPr="00000000" w14:paraId="0000015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10 - dokumenty elektroniczne w postępowaniu lub w konkursie spełniają łącznie następujące wymagania:</w:t>
      </w:r>
    </w:p>
    <w:p w:rsidR="00000000" w:rsidDel="00000000" w:rsidP="00000000" w:rsidRDefault="00000000" w:rsidRPr="00000000" w14:paraId="0000015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71"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są utrwalone w sposób umożliwiający ich wielokrotne odczytanie, zapisanie i powielenie, a także przekazanie przy użyciu środków komunikacji elektronicznej lub na informatycznym nośniku danych;</w:t>
      </w:r>
    </w:p>
    <w:p w:rsidR="00000000" w:rsidDel="00000000" w:rsidP="00000000" w:rsidRDefault="00000000" w:rsidRPr="00000000" w14:paraId="0000015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71"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umożliwiają prezentację treści w postaci elektronicznej, w szczególności przez wyświetlenie tej treści na monitorze ekranowym;</w:t>
      </w:r>
    </w:p>
    <w:p w:rsidR="00000000" w:rsidDel="00000000" w:rsidP="00000000" w:rsidRDefault="00000000" w:rsidRPr="00000000" w14:paraId="0000015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71"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umożliwiają prezentację treści w postaci papierowej, w szczególności za pomocą wydruku;</w:t>
      </w:r>
    </w:p>
    <w:p w:rsidR="00000000" w:rsidDel="00000000" w:rsidP="00000000" w:rsidRDefault="00000000" w:rsidRPr="00000000" w14:paraId="0000015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71"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zawierają dane w układzie niepozostawiającym wątpliwości co do treści i kontekstu zapisanych informacji.</w:t>
      </w:r>
    </w:p>
    <w:p w:rsidR="00000000" w:rsidDel="00000000" w:rsidP="00000000" w:rsidRDefault="00000000" w:rsidRPr="00000000" w14:paraId="0000015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206"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12 -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rsidR="00000000" w:rsidDel="00000000" w:rsidP="00000000" w:rsidRDefault="00000000" w:rsidRPr="00000000" w14:paraId="0000015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określa niezbędne wymagania sprzętowo – aplikacyjne umożliwiające pracę na Platformie zakupowej, tj.:</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stały dostęp do sieci Internet o gwarantowanej przepustowości nie mniejszej niż 512 kb/s,</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komputer klasy PC lub MAC o następującej konfiguracji: pamięć min. 2 GB Ram, procesor Intel IV 2 GHZ lub jego nowsza wersja, jeden z systemów operacyjnych - MS Windows 7, Mac Os x 10.4, Linux, lub ich nowsze wersje,</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zainstalowana dowolna przeglądarka internetowa, w przypadku Internet Explorer minimalnie wersja 10.0.,</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włączona obsługa JavaScript,</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zainstalowany program Adobe Acrobat Reader lub inny obsługujący format plików .pdf,</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Platformazakupowa.pl działa według standardu przyjętego w komunikacji sieciowej - kodowanie UTF8,</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oznaczenie czasu odbioru danych przez platformę zakupową stanowi datę oraz dokładny czas (hh:mm:ss) generowany wg. czasu lokalnego serwera synchronizowanego z zegarem Głównego Urzędu Miar.</w:t>
      </w:r>
    </w:p>
    <w:p w:rsidR="00000000" w:rsidDel="00000000" w:rsidP="00000000" w:rsidRDefault="00000000" w:rsidRPr="00000000" w14:paraId="0000016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może powierzyć wykonanie części zamówienia podwykonawcy.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Powierzenie wykonania części zamówienia podwykonawcom nie zwalnia Wykonawcy z odpowiedzialności za należyte wykonanie tego zamówienia.</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Sposób oraz termin składania ofert:</w:t>
      </w:r>
      <w:r w:rsidDel="00000000" w:rsidR="00000000" w:rsidRPr="00000000">
        <w:rPr>
          <w:rtl w:val="0"/>
        </w:rPr>
      </w:r>
    </w:p>
    <w:p w:rsidR="00000000" w:rsidDel="00000000" w:rsidP="00000000" w:rsidRDefault="00000000" w:rsidRPr="00000000" w14:paraId="0000016B">
      <w:pPr>
        <w:spacing w:after="0" w:line="240" w:lineRule="auto"/>
        <w:ind w:left="426" w:right="3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Ofertę wraz z </w:t>
      </w:r>
      <w:r w:rsidDel="00000000" w:rsidR="00000000" w:rsidRPr="00000000">
        <w:rPr>
          <w:rFonts w:ascii="Arial" w:cs="Arial" w:eastAsia="Arial" w:hAnsi="Arial"/>
          <w:color w:val="000000"/>
          <w:sz w:val="22"/>
          <w:szCs w:val="22"/>
          <w:rtl w:val="0"/>
        </w:rPr>
        <w:t xml:space="preserve">załącznikami należy złożyć za pośrednictwem Platformy Zakupowej </w:t>
      </w:r>
      <w:hyperlink r:id="rId19">
        <w:r w:rsidDel="00000000" w:rsidR="00000000" w:rsidRPr="00000000">
          <w:rPr>
            <w:rFonts w:ascii="Arial" w:cs="Arial" w:eastAsia="Arial" w:hAnsi="Arial"/>
            <w:color w:val="0563c1"/>
            <w:sz w:val="22"/>
            <w:szCs w:val="22"/>
            <w:u w:val="single"/>
            <w:rtl w:val="0"/>
          </w:rPr>
          <w:t xml:space="preserve">https://platformazakupowa.pl/transakcja/940254</w:t>
        </w:r>
      </w:hyperlink>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w terminie do dnia </w:t>
      </w:r>
      <w:r w:rsidDel="00000000" w:rsidR="00000000" w:rsidRPr="00000000">
        <w:rPr>
          <w:rFonts w:ascii="Arial" w:cs="Arial" w:eastAsia="Arial" w:hAnsi="Arial"/>
          <w:b w:val="1"/>
          <w:color w:val="000000"/>
          <w:sz w:val="22"/>
          <w:szCs w:val="22"/>
          <w:rtl w:val="0"/>
        </w:rPr>
        <w:t xml:space="preserve">28.06.2024 r. do godz. 10:00,00.</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Należy pamiętać, aby w przypadku zastosowania podpisu zewnętrznego do podpisania oferty dołączyć do pliku stanowiącego ofertę także pliku podpisującego, który generuje się automatycznie podczas złożenia podpisu.</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Występuje limit objętości plików lub spakowanych folderów w zakresie całej oferty lub wniosku do ilości 10 plików lub spakowanych folderów przy maksymalnej wielkości 150 MB (pliki można spakować dzieląc je na mniejsze paczki po np. 150 MB każda).</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Przy dużych plikach kluczowe jest łącze internetowe i dostępna przepustowość łącza po stronie serwera platformazakupowa.pl oraz użytkownika (Proces przeciwny do pobierania danych, polegający na wysyłaniu w tym przypadku plików z komputera użytkownika do systemu platformazakupowa.pl. Zaleca się, aby łączna objętość plików nie była większa niż 0,5 GB, gdyż w przypadku braku wystarczającego transferu danych ich wgranie do systemu może zająć bardzo dużo czasu).</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datę przekazania oferty lub wniosków przyjmuje się datę ich przekazania w systemie poprzez kliknięcie przycisku Złóż ofertę w drugim kroku i wyświetlaniu komunikatu, że oferta została złożona.</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Czas wyświetlany na platformazakupowa.pl synchronizuje się automatycznie z serwerem Głównego Urzędu Miar.</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Każdy Wykonawca może złożyć tylko jedną ofertę. Złożenie większej liczby ofert lub oferty zawierającej rozwiązania alternatywne lub oferty wariantowej, spowoduje odrzucenie wszystkich ofert złożonych przez danego Wykonawcę.</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złożenia przez Wykonawcę oferty po terminie składania ofert, Zamawiający odrzuci ofertę Wykonawcy.</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może do upływu terminu składania ofert wycofać złożoną przez siebie ofertę. Sposób wycofania oferty został opisany w instrukcjach dla Wykonawców zawartych na stronie </w:t>
      </w:r>
      <w:hyperlink r:id="rId20">
        <w:r w:rsidDel="00000000" w:rsidR="00000000" w:rsidRPr="00000000">
          <w:rPr>
            <w:rFonts w:ascii="Arial" w:cs="Arial" w:eastAsia="Arial" w:hAnsi="Arial"/>
            <w:b w:val="0"/>
            <w:i w:val="0"/>
            <w:smallCaps w:val="0"/>
            <w:strike w:val="0"/>
            <w:color w:val="4472c4"/>
            <w:sz w:val="22"/>
            <w:szCs w:val="22"/>
            <w:u w:val="single"/>
            <w:shd w:fill="auto" w:val="clear"/>
            <w:vertAlign w:val="baseline"/>
            <w:rtl w:val="0"/>
          </w:rPr>
          <w:t xml:space="preserve">https://platformazakupowa.pl/strona/45-instrukcje</w:t>
        </w:r>
      </w:hyperlink>
      <w:r w:rsidDel="00000000" w:rsidR="00000000" w:rsidRPr="00000000">
        <w:rPr>
          <w:rFonts w:ascii="Arial" w:cs="Arial" w:eastAsia="Arial" w:hAnsi="Arial"/>
          <w:b w:val="0"/>
          <w:i w:val="0"/>
          <w:smallCaps w:val="0"/>
          <w:strike w:val="0"/>
          <w:color w:val="4472c4"/>
          <w:sz w:val="22"/>
          <w:szCs w:val="22"/>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Termin otwarcia ofert:</w:t>
      </w:r>
      <w:r w:rsidDel="00000000" w:rsidR="00000000" w:rsidRPr="00000000">
        <w:rPr>
          <w:rtl w:val="0"/>
        </w:rPr>
      </w:r>
    </w:p>
    <w:p w:rsidR="00000000" w:rsidDel="00000000" w:rsidP="00000000" w:rsidRDefault="00000000" w:rsidRPr="00000000" w14:paraId="00000177">
      <w:pPr>
        <w:spacing w:after="0" w:line="240" w:lineRule="auto"/>
        <w:ind w:left="567" w:right="33" w:hanging="141"/>
        <w:rPr>
          <w:rFonts w:ascii="Arial" w:cs="Arial" w:eastAsia="Arial" w:hAnsi="Arial"/>
          <w:sz w:val="22"/>
          <w:szCs w:val="22"/>
        </w:rPr>
      </w:pPr>
      <w:r w:rsidDel="00000000" w:rsidR="00000000" w:rsidRPr="00000000">
        <w:rPr>
          <w:rFonts w:ascii="Arial" w:cs="Arial" w:eastAsia="Arial" w:hAnsi="Arial"/>
          <w:sz w:val="22"/>
          <w:szCs w:val="22"/>
          <w:rtl w:val="0"/>
        </w:rPr>
        <w:t xml:space="preserve">Otwarcie ofert </w:t>
      </w:r>
      <w:r w:rsidDel="00000000" w:rsidR="00000000" w:rsidRPr="00000000">
        <w:rPr>
          <w:rFonts w:ascii="Arial" w:cs="Arial" w:eastAsia="Arial" w:hAnsi="Arial"/>
          <w:color w:val="000000"/>
          <w:sz w:val="22"/>
          <w:szCs w:val="22"/>
          <w:rtl w:val="0"/>
        </w:rPr>
        <w:t xml:space="preserve">nastąpi w dniu 28.06.2024 r. o godzinie 10:05,00.</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Otwarcie ofert następuje poprzez użycie Platformy i dokonywane jest poprzez odszyfrowanie i otwarcie ofert za pomocą Platformy. Zamawiający nie przewiduje publicznej sesji otwarcia ofert w siedzibie Zamawiającego.</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najpóźniej przed otwarciem ofert, udostępnia na stronie internetowej prowadzonego postępowania informację o kwocie, jaką zamierza przeznaczyć na sfinansowanie zamówienia.</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niezwłocznie po otwarciu ofert, udostępnia na stronie internetowej prowadzonego postępowania informacje o:</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nazwach albo imionach i nazwiskach oraz siedzibach lub miejscach prowadzonej działalności gospodarczej albo miejscach zamieszkania wykonawców, których oferty zostały otwarte;</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cenach lub kosztach zawartych w ofertach.</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Podstawy wykluczenia, o których mowa w art. 108 ust. 1 oraz podstawy wykluczenia, o których mowa w art. 109 ust. 1, jeżeli zamawiający je przewiduje:</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 udzielenie zamówienia mogą ubiegać się wykonawcy, którzy nie podlegają wykluczeniu.</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w:t>
        <w:tab/>
        <w:t xml:space="preserve">Na podstawie art. 108 ust. 1 ustawy Pzp z postępowania o udzielenie zamówienia Zamawiający wykluczy wykonawcę:</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będącego osobą fizyczną, którego prawomocnie skazano za przestępstwo:</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udziału w zorganizowanej grupie przestępczej albo związku mającym na celu popełnienie przestępstwa lub przestępstwa skarbowego, o którym mowa w art. 258 Kodeksu karnego,</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handlu ludźmi, o którym mowa w art. 189a Kodeksu karnego,</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w:t>
        <w:tab/>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w:t>
        <w:tab/>
        <w:t xml:space="preserve">o charakterze terrorystycznym, o którym mowa w art. 115 § 20 Kodeksu karnego, lub mające na celu popełnienie tego przestępstwa,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w:t>
        <w:tab/>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t>
        <w:tab/>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w:t>
        <w:tab/>
        <w:t xml:space="preserve">o którym mowa w art. 9 ust. 1 i 3 lub art. 10 ustawy z dnia 15 czerwca 2012 r. o skutkach powierzania wykonywania pracy cudzoziemcom przebywającym wbrew przepisom na terytorium Rzeczypospolitej Polskiej</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lub za odpowiedni czyn zabroniony określony w przepisach prawa obcego;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tab/>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ppkt 1;</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tab/>
        <w:t xml:space="preserve">wobec którego prawomocnie orzeczono zakaz ubiegania się o zamówienia publiczne;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tab/>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w:t>
        <w:tab/>
        <w:t xml:space="preserve">Zamawiający z postępowania o udzielenie zamówienia Zamawiający wykluczy wykonawcę na podstawie art. 109 ust. 1 ustawy Pzp pkt:</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tab/>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tab/>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w:t>
        <w:tab/>
        <w:t xml:space="preserve">Na podstawie art. 7 ust. 3 ustawy z dnia 13 kwietnia 2022r. o szczególnych rozwiązaniach w zakresie przeciwdziałania wspieraniu agresji na Ukrainę oraz służących ochronie bezpieczeństwa narodowego (tekst jednolity: Dz.U. 2023 poz. 1497 z późn.zm.) z postępowania o udzielenie zamówienia Zamawiający wykluczy wykonawcę</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 przypadkach, o których mowa w art. 7 ust. 1 tejże ustawy.</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zależności od zaistniałych podstaw wykluczenia określonych w pkt. 25 SWZ następuje wykluczenie Wykonawcy na odpowiedni okres wskazany w art. 111 ustawy Pzp.</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może zostać wykluczony przez Zamawiającego na każdym etapie postępowania o udzielenie zamówienia.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warunkach udziału w postępowaniu, jeżeli zamawiający je przewiduje:</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 udzielenie zamówienia mogą ubiegać się Wykonawcy, którzy spełniają warunki udziału w postępowaniu określone poniżej przez Zamawiającego.</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udzielenie zamówienia mogą ubiegać się Wykonawcy, którzy spełniają warunki dotyczące:</w:t>
      </w:r>
    </w:p>
    <w:p w:rsidR="00000000" w:rsidDel="00000000" w:rsidP="00000000" w:rsidRDefault="00000000" w:rsidRPr="00000000" w14:paraId="000001A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zdolności do występowania w obrocie gospodarczym:</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stawia warunku w powyższym zakresie.</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uprawnień do prowadzenia określonej działalności gospodarczej lub zawodowej, o ile wynika to z odrębnych przepisów:</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stawia warunku w powyższym zakresie.</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sytuacji ekonomicznej lub finansowej:</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musi wykazać, że posiada zdolność kredytową lub środki finansowe w kwocie minimum 3.000.000,00 zł (słownie: trzy miliony złotych).</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Uwaga: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w stosunku do Wykonawców wspólnie ubiegających się o udzielenie zamówienia dopuszcza łączne spełnianie warunku przez Wykonawców.</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tab/>
        <w:t xml:space="preserve">zdolności technicznej lub zawodowej:</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musi wykazać, że posiada niezbędne wykształcenie, kwalifikacje zawodowe, doświadczenie, potencjał techniczny wykonawcy lub osób skierowanych przez wykonawcę do realizacji zamówienia, umożliwiające realizację zamówienia na odpowiednim poziomie jakości, tj.:</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w okresie ostatnich 5 lat przed upływem terminu składania ofert, a jeżeli okres pro-wadzenia działalności jest krótszy, to w tym okresie, wykonał należycie co najmniej:</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w:t>
        <w:tab/>
        <w:t xml:space="preserve">2 roboty budowlane, w których przedmiotem każdej z robót była budowa budynku wielorodzinnego min. 3 kondygnacyjnego, o łącznej wartości każdej z robót nie niższej niż 7.000.000,00 zł brutto,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w:t>
        <w:tab/>
        <w:t xml:space="preserve">1 robotę budowlaną polegającą na budowie budynku wielokondygnacyjnego wykonanego w technologii prefabrykowanej betonowej, w którym 1/3 powierzchni ścian tego budynku była wykonana z prefabrykatów keramzytobetonowych.</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Uwaga: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w stosunku do Wykonawców wspólnie ubiegających się o udzielenie za-mówienia dopuszcza łączne spełnianie warunku przez Wykonawców.</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skieruje do realizacji zamówienia publicznego osobę/osoby zdolną/zdolne do wykonania zamówienia tj.:</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co najmniej 1 osobę, która będzie pełniła funkcję kierownika budowy, posiadającą prawo do wykonywania samodzielnych funkcji technicznych w budownictwie, tj. uprawnienia budowlane w zakresie kierowania robotami budowlanymi bez ograniczeń w specjalności konstrukcyjno-budowlanej lub odpowiadające im ważne uprawnienia budowlane, oraz posiadającą 5 letnie doświadczenie w pełnieniu funkcji kierownika budowy, w tym co najmniej dla 2 robót budowlanych polegających na budowie, przebudowie lub remoncie budynku (z wyłączeniem budynków mieszkalnych jednorodzinnych, służących gospodarce rolnej, budynków kultu religijnego, budynków sportu i rekreacji, budynków handlu, gastronomii i usług, budynków przemysłowych oraz innych niewielkich budynków jak: domy letniskowe, budynki gospodarcze, garaże) o łącznej wartości robót nie niższej niż 7.000.000,00 zł brutto dla każdej z robót budowlanych,</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co najmniej 1 osobę posiadającą prawo do wykonywania samodzielnych funkcji technicznych w budownictwie, tj. uprawnienia budowlane w zakresie kierowania robotami budowlanymi bez ograniczeń w specjalności instalacyjnej w zakresie sieci, instalacji i urządzeń elektrycznych i elektroenergetycznych, lub odpowiadające im ważne uprawnienia budowlane, oraz posiadającą 5 letnie doświadczenie w pełnieniu funkcji kierownika robót, w tym co najmniej dla 2 robót budowlanych polegających na budowie, przebudowie lub remoncie budynku (z wyłączeniem budynków mieszkalnych jednorodzinnych, służących gospodarce rolnej, budynków kultu religijnego, budynków sportu i rekreacji, budynków handlu, gastronomii i usług, budynków przemysłowych oraz innych niewielkich budynków jak: domy letniskowe, budynki gospodarcze, garaże) o łącznej wartości robót nie niższej niż 500.000,00 zł brutto dla każdej z robót budowlanych,</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co najmniej 1 osobę posiadającą prawo do wykonywania samodzielnych funkcji technicznych w budownictwie, tj. uprawnienia budowlane w zakresie kierowania robotami budowlanymi bez ograniczeń w specjalności instalacyjnej w zakresie sieci, instalacji i urządzeń cieplnych, wentylacyjnych, gazowych, wodociągowych i kanalizacyjnych, lub odpowiadające im ważne uprawnienia budowlane, oraz posiadającą 5 letnie doświadczenie w pełnieniu funkcji kierownika robót, w tym co najmniej dla 2 robót budowlanych polegających na budowie, przebudowie lub remoncie budynku (z wyłączeniem budynków mieszkalnych jednorodzinnych, służących gospodarce rolnej, budynków kultu religijnego, budynków sportu i rekreacji, budynków handlu, gastronomii i usług, budynków przemysłowych oraz innych niewielkich budynków jak: domy letniskowe, budynki gospodarcze, garaże) o łącznej wartości robót nie niższej niż 1.500.000,00 zł brutto dla każdej z robót budowlanych,</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43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co najmniej 1 osobę posiadającą prawo do wykonywania samodzielnych funkcji technicznych w budownictwie, tj. uprawnienia budowlane w zakresie kierowania robotami budowlanymi bez ograniczeń w specjalności inżynieryjnej drogowej, lub odpowiadające im ważne uprawnienia budowlane, oraz posiadającą 5 letnie doświadczenie w pełnieniu funkcji kierownika robót, w tym co najmniej dla 2 robót budowlanych polegających na budowie, przebudowie lub remoncie dróg lub parkingów o łącznej wartości robót nie niższej niż 200.000,00 zł brutto dla każdej z robót budowlanych,</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D">
      <w:pPr>
        <w:spacing w:after="0" w:line="240" w:lineRule="auto"/>
        <w:ind w:left="127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Uprawnienia, o których mowa powyżej, powinny być zgodne z ustawą z dnia 7 lipca 1994 r. Prawo budowlane (tekst jednolity Dz.U. 2023 poz. 682 z późn. zm.) lub ważne odpowiadające im uprawnienia, nadane na podstawie wcześniej obowiązujących przepisów.</w:t>
      </w:r>
    </w:p>
    <w:p w:rsidR="00000000" w:rsidDel="00000000" w:rsidP="00000000" w:rsidRDefault="00000000" w:rsidRPr="00000000" w14:paraId="000001BE">
      <w:pPr>
        <w:spacing w:after="0" w:line="240" w:lineRule="auto"/>
        <w:ind w:left="127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Zgodnie z art. 12a ustawy Prawo budowlane samodzielne funkcje techniczne w budownictwie, określone w art. 12 ust. 1 tejże ustawy mogą również wykonywać osoby, których odpowiednie kwalifikacje zawodowe zostały uznane na zasadach określonych w przepisach odrębnych, np. ustawie z dnia 22 grudnia 2015 r. o zasadach uznawania kwalifikacji zawodowych nabytych w państwach członkowskich Unii Europejskiej (j.t. Dz.U. 2023 poz. 334) lub ustawie z dnia 15 grudnia 2000 r. o samorządach zawodowych architektów oraz inżynierów budownictwa (t.j.: Dz.U. 2023 poz. 551).</w:t>
      </w:r>
    </w:p>
    <w:p w:rsidR="00000000" w:rsidDel="00000000" w:rsidP="00000000" w:rsidRDefault="00000000" w:rsidRPr="00000000" w14:paraId="000001BF">
      <w:pPr>
        <w:spacing w:after="0" w:line="240" w:lineRule="auto"/>
        <w:ind w:left="127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Zamawiający dopuszcza łączenie ww. funkcji.</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Uwaga: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w stosunku do Wykonawców wspólnie ubiegających się o udzielenie zamówienia dopuszcza łączne spełnianie warunku przez Wykonawców.</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Wartości podane w dokumentach potwierdzających spełnianie warunków udziału w postępowaniu w walutach innych niż wskazane przez Zamawiającego należy przeliczyć wg średniego kursu NBP na dzień opublikowania ogłoszenia o zamówieniu.</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tym przypadku, wykonawcy wspólnie ubiegający się o udzielenie zamówienia dołączają do oferty oświadczenie, z którego wynika, które roboty budowlane wykonają poszczególni wykonawcy -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6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5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podmiotowych środkach dowodowych, jeżeli zamawiający będzie wymagał ich złożenia:</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 celu potwierdzenia braku podstaw wykluczenia wykonawcy z udziału w postępowaniu o udzielenie zamówienia publicznego, Zamawiający żąda następujących podmiotowych środków dowodowych:</w:t>
      </w:r>
    </w:p>
    <w:p w:rsidR="00000000" w:rsidDel="00000000" w:rsidP="00000000" w:rsidRDefault="00000000" w:rsidRPr="00000000" w14:paraId="000001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informacji z Krajowego Rejestru Karnego w zakresie:</w:t>
      </w:r>
    </w:p>
    <w:p w:rsidR="00000000" w:rsidDel="00000000" w:rsidP="00000000" w:rsidRDefault="00000000" w:rsidRPr="00000000" w14:paraId="000001D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1 i 2 ustawy Pzp,</w:t>
      </w:r>
    </w:p>
    <w:p w:rsidR="00000000" w:rsidDel="00000000" w:rsidP="00000000" w:rsidRDefault="00000000" w:rsidRPr="00000000" w14:paraId="000001D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4 ustawy Pzp, dotyczącej orzeczenia zakazu ubiegania się o zamówienie publiczne tytułem środka karnego,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sporządzonej nie wcześniej niż 6 miesięcy przed jej złożeniem;</w:t>
      </w:r>
    </w:p>
    <w:p w:rsidR="00000000" w:rsidDel="00000000" w:rsidP="00000000" w:rsidRDefault="00000000" w:rsidRPr="00000000" w14:paraId="000001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oświadczenia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000000" w:rsidDel="00000000" w:rsidP="00000000" w:rsidRDefault="00000000" w:rsidRPr="00000000" w14:paraId="000001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oświadczenia wykonawcy o aktualności informacji zawartych w oświadczeniu, o którym mowa w art. 125 ust. 1 ustawy Pzp, w zakresie podstaw wykluczenia z postępowania wskazanych przez zamawiającego, o których mowa w:</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3 ustawy Pzp,</w:t>
      </w:r>
    </w:p>
    <w:p w:rsidR="00000000" w:rsidDel="00000000" w:rsidP="00000000" w:rsidRDefault="00000000" w:rsidRPr="00000000" w14:paraId="000001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4 ustawy Pzp, dotyczących orzeczenia zakazu ubiegania się o zamówienie publiczne tytułem środka zapobiegawczego,</w:t>
      </w:r>
    </w:p>
    <w:p w:rsidR="00000000" w:rsidDel="00000000" w:rsidP="00000000" w:rsidRDefault="00000000" w:rsidRPr="00000000" w14:paraId="000001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5 ustawy Pzp, dotyczących zawarcia z innymi wykonawcami porozumienia mającego na celu zakłócenie konkurencji,</w:t>
      </w:r>
    </w:p>
    <w:p w:rsidR="00000000" w:rsidDel="00000000" w:rsidP="00000000" w:rsidRDefault="00000000" w:rsidRPr="00000000" w14:paraId="000001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108 ust. 1 pkt 6 ustawy Pzp,</w:t>
      </w:r>
    </w:p>
    <w:p w:rsidR="00000000" w:rsidDel="00000000" w:rsidP="00000000" w:rsidRDefault="00000000" w:rsidRPr="00000000" w14:paraId="000001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d34og8"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109 ust. 1 pkt 5 i 7 ustawy Pzp.</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Uwaga:</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wspólnego ubiegania się o zamówienie przez Wykonawców, oświadczenia i dokumenty w zakresie ppkt. A składa każdy z Wykonawców wspólnie ubiegających się o zamówienie.</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Jeżeli wykonawca ma siedzibę lub miejsce zamieszkania poza granicami Rzeczypospolitej Polskiej, zamiast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informacji z Krajowego Rejestru Karnego, o której mowa w ppkt A.1 powyżej – składa:</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ppkt A.1 powyżej. Dokument ten powinien być wystawiony nie wcześniej niż 6 miesięcy przed jego złożeniem.</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w kraju, w którym wykonawca ma siedzibę lub miejsce zamieszkania, nie wydaje się powyższych dokumentów, o których mowa w ppkt A.1,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Dokument ten powinien być wystawiony nie wcześniej niż 6 miesięcy przed jego złożeniem.</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 celu potwierdzenia spełniania przez wykonawcę warunków udziału w postępowaniu, Zamawiający żąda następujących podmiotowych środków dowodowych:</w:t>
      </w:r>
    </w:p>
    <w:p w:rsidR="00000000" w:rsidDel="00000000" w:rsidP="00000000" w:rsidRDefault="00000000" w:rsidRPr="00000000" w14:paraId="000001E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dotyczących sytuacji ekonomicznej lub finansowej:</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zamawiający żąda, w szczególności, następujących podmiotowych środków dowodowych:</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informacji banku lub spółdzielczej kasy oszczędnościowo-kredytowej potwierdzającej wysokość posiadanych środków finansowych lub zdolność kredytową wykonawcy, w okresie nie wcześniejszym niż 3 miesiące przed jej złożeniem;</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z uzasadnionej przyczyny wykonawca nie może złożyć wymaganych przez zamawiającego podmiotowych środków dowodowych, o których mowa w tym ppkt., wykonawca składa inne podmiotowe środki dowodowe, które w wystarczający sposób potwierdzają spełnianie opisanego przez zamawiającego warunku udziału w postępowaniu dotyczącego sytuacji ekonomicznej lub finansowej.</w:t>
      </w:r>
    </w:p>
    <w:p w:rsidR="00000000" w:rsidDel="00000000" w:rsidP="00000000" w:rsidRDefault="00000000" w:rsidRPr="00000000" w14:paraId="000001E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dotyczących zdolności technicznej lub zawodowej:</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zamawiający żąda następujących podmiotowych środków dowodowych:</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7a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Ww. okres liczy się wstecz od dnia w którym upływa termin składania ofert.</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wykonawca powołuje się na doświadczenie w realizacji robót budowlanych wykonywanych wspólnie z innymi wykonawcami, wykaz dotyczy robót budowlanych, w których wykonaniu wykonawca ten bezpośrednio uczestniczył.</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załącznikiem nr 7b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Przepisy te stosuje się odpowiednio do podmiotowych środków dowodowych dotyczących podmiotu udostępniającego zasoby na zasadach określonych w art. 118 ustawy Pzp.</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Reprezentacja:</w:t>
      </w:r>
    </w:p>
    <w:p w:rsidR="00000000" w:rsidDel="00000000" w:rsidP="00000000" w:rsidRDefault="00000000" w:rsidRPr="00000000" w14:paraId="000001F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rsidR="00000000" w:rsidDel="00000000" w:rsidP="00000000" w:rsidRDefault="00000000" w:rsidRPr="00000000" w14:paraId="000001F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nie jest zobowiązany do złożenia dokumentów, o których mowa w ppkt. 1, jeżeli zamawiający może je uzyskać za pomocą bezpłatnych i ogólnodostępnych baz danych, o ile wykonawca wskazał dane umożliwiające dostęp do tych dokumentów.</w:t>
      </w:r>
    </w:p>
    <w:p w:rsidR="00000000" w:rsidDel="00000000" w:rsidP="00000000" w:rsidRDefault="00000000" w:rsidRPr="00000000" w14:paraId="000001F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w imieniu wykonawcy działa osoba, której umocowanie do jego reprezentowania nie wynika z dokumentów, o których mowa w ppkt. 1, zamawiający może żądać od wykonawcy pełnomocnictwa lub innego dokumentu potwierdzającego umocowanie do reprezentowania wykonawcy.</w:t>
      </w:r>
    </w:p>
    <w:p w:rsidR="00000000" w:rsidDel="00000000" w:rsidP="00000000" w:rsidRDefault="00000000" w:rsidRPr="00000000" w14:paraId="000001F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Przepis ppkt. 3 stosuje się odpowiednio do osoby działającej w imieniu wykonawców wspólnie ubiegających się o udzielenie zamówienia publicznego.</w:t>
      </w:r>
    </w:p>
    <w:p w:rsidR="00000000" w:rsidDel="00000000" w:rsidP="00000000" w:rsidRDefault="00000000" w:rsidRPr="00000000" w14:paraId="000001F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Przepisy ppkt. 1–3 stosuje się odpowiednio do osoby działającej w imieniu podmiotu udostępniającego zasoby na zasadach określonych w art. 118 ustawy Pzp.</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538135"/>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wskazania przez wykonawcę dostępności podmiotowych środków dowodowych lub dokumentów, o których mowa w ppkt E powyżej,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Podmiotowe środki dowodowe oraz inne dokumenty lub oświadczenia, o których mowa w tym pkt SWZ, składa się w formie elektronicznej, w postaci elektronicznej opatrzonej podpisem zaufanym lub podpisem osobistym, w formie pisemnej lub w formie dokumentowej, w zakresie i w sposób określony w przepisach wydanych na podstawie art. 70 ustawy, określonych w pkt 22 ppkt 4b SWZ.</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Sposób obliczenia ceny:</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Cena oferty zostanie wyliczona przez Wykonawcę w oparciu o kosztorysy ofertowe. Podstawą obliczenia ceny są: dokumentacja projektowa, specyfikacja techniczna wykonania i odbioru robót budowlanych, opis przedmiotu zamówienia oraz przedmiary robót dołączone do SWZ.</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Kosztorysy ofertowe należy sporządzić metodą kalkulacji uproszczonej ściśle według kolejności pozycji wyszczególnionych w przedmiarach robót. Wykonawca określi w kosztorysie ofertowym ceny jednostkowe netto oraz wartości netto i brutto dla wszystkich wskazanych pozycji. Wyliczoną w ten sposób cenę oferty brutto należy przenieść do Formularza oferty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Kosztorysy ofertowe muszą zawierać tabele elementy scalonych oraz zestawienie elementów RMS (robocizny / materiałów / sprzętu).</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powinien podać cenę oferty brutto, tj. wraz z należnym podatkiem VAT.</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Cena oferty powinna obejmować całkowity koszt wykonania przedmiotu zamówienia, w tym również wszelkie koszty towarzyszące wykonaniu, np. koszty przygotowania placu budowy, przeprowadzenia ostatecznych prób i sprawdzeń niezbędnych do uzyskania pozwolenia na użytkowanie.</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Koszty towarzyszące wykonaniu przedmiotu zamówienia, których nie ujęto w kosztorysie ofertowym Wykonawca powinien ująć w poszczególnych cenach jednostkowych opisanych pozycji.</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Cena oferty (w tym ceny jednostkowe netto wskazane w kosztorysie ofertowym) powinna(y) być wyrażone w złotych polskich (PLN) z dokładnością do dwóch miejsc po przecinku.</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Opis kryteriów oceny ofert, wraz z podaniem wag tych kryteriów, i sposobu oceny ofert:</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t xml:space="preserve">Przy wyborze najkorzystniejszej oferty Zamawiający będzie się kierował następującymi kryteriami:</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cena ofertowa (brutto) za realizację przedmiotu zamówienia: 60 pkt (maksymalnie 60 pkt)</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przedłużenie okresu gwarancji (jakości) i rękojmi: 20 pkt (maksymalnie 20 pkt)</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skrócenie terminu realizacji przedmiotu zamówienia: 20 pkt (maksymalnie 20 pkt)</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 a)</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cena ofertowa (brutto) za realizację przedmiotu zamówienia:</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ramach w/w kryterium Zamawiający przyzna punkty wg następującego wzoru:</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 = (Cn/Cb) x 60</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gdzie:</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 – liczba punktów w kryterium „cena ofertowa”,</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Cn – cena ofertowa (brutto) najniższa spośród wszystkich ocenianych ofert,</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Cb – cena ofertowa (brutto) oferty badanej,</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 b)</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ramach kryterium „przedłużenie okresu gwarancji (jakości) i rękojmi” punkty zostaną przyznane w skali punktowej od 0 do 20 punktów, na podstawie informacji zawartych w Formularzu ofertowym Wykonawcy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Brak wypełnienia Formularza ofertowego wypełnionego w punkcie „przedłużenie okresu gwarancji (jakości) i rękojmi” skutkować będzie przyznaniem 0 punktów w ramach tego kryterium.</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Kryterium „przedłużenie okresu gwarancji i rękojmi” będzie rozpatrywane na podstawie oświadczenia Wykonawcy złożonego w Formularzu ofertowym Wykonawcy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Warunki udzielonej Gwarancji (jakości) zostały określone w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Załączniku nr 3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(Projektowane postanowienia umowy) oraz w dokumencie „Gwarancja Jakości”, stanowiącym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1 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Projektowanych postanowień umowy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Minimalny okres gwarancji (jakości) i rękojmi w zakresie robót objętych przedmiotem zamówienia wymagany przez Zamawiającego wynosi 5 lat licząc od daty odbioru ostatecznego.</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ramach ww. kryterium Wykonawca deklaruje o ile pełnych lat przedłuża okres gwarancji (jakości) i rękojmi w zakresie robót objętych przedmiotem zamówienia:</w:t>
      </w:r>
    </w:p>
    <w:p w:rsidR="00000000" w:rsidDel="00000000" w:rsidP="00000000" w:rsidRDefault="00000000" w:rsidRPr="00000000" w14:paraId="0000021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przedłużenie okresu gwarancji (jakości) i rękojmi o 1 rok Wykonawca otrzyma 10 pkt,</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albo,</w:t>
      </w:r>
    </w:p>
    <w:p w:rsidR="00000000" w:rsidDel="00000000" w:rsidP="00000000" w:rsidRDefault="00000000" w:rsidRPr="00000000" w14:paraId="00000221">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przedłużenie okresu gwarancji (jakości) i rękojmi o 2 lata Wykonawca otrzyma 20 pkt.</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braku przedłużenia okresu gwarancji (jakości) i rękojmi Wykonawca otrzyma 0 pkt.</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Wykonawca nie zadeklaruje lub nie określi przedłużenia okresu gwarancji (jakości) i rękojmi - Zamawiający przyjmie, że okres gwarancji (jakości) i rękojmi będzie wynosił 5 lat - Zamawiający przyzna w tym kryterium 0 pkt.</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Maksymalna liczba punktów, która może zostać przyznana w ramach tego kryterium wynosi 20 pkt.</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Wykonawca zadeklaruje okres gwarancji (jakości) i rękojmi krótszy niż 5 lat licząc od daty odbioru ostatecznego - oferta Wykonawcy zostanie odrzucona jako niezgodna z warunkami zamówienia.</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 c)</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ramach kryterium „skrócenie terminu realizacji przedmiotu zamówienia” (termin realizacji przedmiotu zamówienia został określony w pkt 15 SWZ) punkty zostaną przyznane w skali punktowej od 0 do 20 punktów, na podstawie informacji zawartych w Formularzu ofertowym Wykonawcy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Brak wypełnienia Formularza ofertowego wypełnionego w punkcie „skrócenie terminu realizacji przedmiotu zamówienia” skutkować będzie przyznaniem 0 punktów w ramach tego kryterium.</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Kryterium „skrócenie terminu realizacji przedmiotu zamówienia” będzie rozpatrywane na podstawie oświadczenia Wykonawcy złożonego w Formularzu ofertowym Wykonawcy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(Załącznik nr 2 do SWZ)</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Maksymalny termin realizacji przedmiotu zamówienia wymagany przez Zamawiającego wynosi 12 miesięcy, licząc od dnia zawarcia umowy.</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ramach ww. kryterium Wykonawca deklaruje okres, o ile pełnych miesięcy skróci termin realizacji przedmiotu zamówienia:</w:t>
      </w:r>
    </w:p>
    <w:p w:rsidR="00000000" w:rsidDel="00000000" w:rsidP="00000000" w:rsidRDefault="00000000" w:rsidRPr="00000000" w14:paraId="0000022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s8eyo1" w:id="10"/>
      <w:bookmarkEnd w: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skrócenie terminu realizacji przedmiotu zamówienia o 1 miesiąc Wykonawca otrzyma 10 pkt,</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albo,</w:t>
      </w:r>
    </w:p>
    <w:p w:rsidR="00000000" w:rsidDel="00000000" w:rsidP="00000000" w:rsidRDefault="00000000" w:rsidRPr="00000000" w14:paraId="0000022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851"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skrócenie terminu realizacji przedmiotu zamówienia o 2 miesiące Wykonawca otrzyma 20 pkt.</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braku skrócenia terminu realizacji przedmiotu zamówienia Wykonawca otrzyma 0 pkt.</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Wykonawca nie zadeklaruje lub nie określi okresu skrócenia terminu realizacji przedmiotu zamówienia - Zamawiający przyjmie, że termin realizacji przedmiotu zamówienia będzie wynosił 12 miesięcy - Zamawiający przyzna w tym kryterium 0 pkt.</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Maksymalna liczba punktów, która może zostać przyznana w ramach tego kryterium wynosi 20 pkt.</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Wykonawca zadeklaruje termin realizacji przedmiotu zamówienia dłuższy niż 12 miesięcy, licząc od dnia zawarcia umowy - oferta Wykonawcy zostanie odrzucona jako niezgodna z warunkami zamówienia.</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Uwaga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Jeżeli zostanie złożona oferta, której wybór prowadziłby do powstania u Zamawiającego obowiązku podatkowego zgodnie z ustawą z dnia 11 marca 2004r. o podatku od towarów i usług (t. jedn.: Dz.U. 2022 poz. 931 z późn.zm.), dla celów zastosowania kryterium ceny Zamawiający dolicza do przedstawionej w tej ofercie ceny kwotę podatku od towarów i usług, którą miałby obowiązek rozliczyć.</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Uwaga.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Przy obliczaniu punktów w kryterium cena ofertowa (brutto) za realizację przedmiotu zamówienia,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9">
      <w:pPr>
        <w:numPr>
          <w:ilvl w:val="0"/>
          <w:numId w:val="8"/>
        </w:num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 ramach wszystkich wskazanych i opisanych kryteriów oceny ofert Wykonawca otrzyma łączną (końcową) ilość punktów wyliczoną w następujący sposób: </w:t>
      </w:r>
    </w:p>
    <w:p w:rsidR="00000000" w:rsidDel="00000000" w:rsidP="00000000" w:rsidRDefault="00000000" w:rsidRPr="00000000" w14:paraId="0000023A">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KIP = IP1 + IP2 + IP3</w:t>
      </w:r>
      <w:r w:rsidDel="00000000" w:rsidR="00000000" w:rsidRPr="00000000">
        <w:rPr>
          <w:rtl w:val="0"/>
        </w:rPr>
      </w:r>
    </w:p>
    <w:p w:rsidR="00000000" w:rsidDel="00000000" w:rsidP="00000000" w:rsidRDefault="00000000" w:rsidRPr="00000000" w14:paraId="0000023B">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gdzie poszczególne symbole oznaczają:</w:t>
      </w:r>
    </w:p>
    <w:p w:rsidR="00000000" w:rsidDel="00000000" w:rsidP="00000000" w:rsidRDefault="00000000" w:rsidRPr="00000000" w14:paraId="0000023C">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KIP – </w:t>
      </w:r>
      <w:r w:rsidDel="00000000" w:rsidR="00000000" w:rsidRPr="00000000">
        <w:rPr>
          <w:rFonts w:ascii="Arial" w:cs="Arial" w:eastAsia="Arial" w:hAnsi="Arial"/>
          <w:color w:val="000000"/>
          <w:sz w:val="22"/>
          <w:szCs w:val="22"/>
          <w:rtl w:val="0"/>
        </w:rPr>
        <w:t xml:space="preserve">końcowa ilość punktów,</w:t>
      </w:r>
    </w:p>
    <w:p w:rsidR="00000000" w:rsidDel="00000000" w:rsidP="00000000" w:rsidRDefault="00000000" w:rsidRPr="00000000" w14:paraId="0000023D">
      <w:pPr>
        <w:spacing w:after="0" w:line="240" w:lineRule="auto"/>
        <w:ind w:left="426" w:firstLine="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IP1 – </w:t>
      </w:r>
      <w:r w:rsidDel="00000000" w:rsidR="00000000" w:rsidRPr="00000000">
        <w:rPr>
          <w:rFonts w:ascii="Arial" w:cs="Arial" w:eastAsia="Arial" w:hAnsi="Arial"/>
          <w:color w:val="000000"/>
          <w:sz w:val="22"/>
          <w:szCs w:val="22"/>
          <w:rtl w:val="0"/>
        </w:rPr>
        <w:t xml:space="preserve">ilość punktów uzyskanych w kryterium: </w:t>
      </w:r>
      <w:r w:rsidDel="00000000" w:rsidR="00000000" w:rsidRPr="00000000">
        <w:rPr>
          <w:rFonts w:ascii="Arial" w:cs="Arial" w:eastAsia="Arial" w:hAnsi="Arial"/>
          <w:sz w:val="22"/>
          <w:szCs w:val="22"/>
          <w:rtl w:val="0"/>
        </w:rPr>
        <w:t xml:space="preserve">cena ofertowa (brutto) za realizację przedmiotu zamówienia</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23E">
      <w:pPr>
        <w:spacing w:after="0" w:line="240" w:lineRule="auto"/>
        <w:ind w:left="426"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IP2</w:t>
      </w:r>
      <w:r w:rsidDel="00000000" w:rsidR="00000000" w:rsidRPr="00000000">
        <w:rPr>
          <w:rFonts w:ascii="Arial" w:cs="Arial" w:eastAsia="Arial" w:hAnsi="Arial"/>
          <w:color w:val="000000"/>
          <w:sz w:val="22"/>
          <w:szCs w:val="22"/>
          <w:rtl w:val="0"/>
        </w:rPr>
        <w:t xml:space="preserve"> - ilość punktów uzyskanych w kryterium: </w:t>
      </w:r>
      <w:r w:rsidDel="00000000" w:rsidR="00000000" w:rsidRPr="00000000">
        <w:rPr>
          <w:rFonts w:ascii="Arial" w:cs="Arial" w:eastAsia="Arial" w:hAnsi="Arial"/>
          <w:sz w:val="22"/>
          <w:szCs w:val="22"/>
          <w:rtl w:val="0"/>
        </w:rPr>
        <w:t xml:space="preserve">przedłużenie okresu gwarancji (jakości) i rękojmi</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23F">
      <w:pPr>
        <w:spacing w:after="0" w:line="240" w:lineRule="auto"/>
        <w:ind w:left="426"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IP3 </w:t>
      </w:r>
      <w:r w:rsidDel="00000000" w:rsidR="00000000" w:rsidRPr="00000000">
        <w:rPr>
          <w:rFonts w:ascii="Arial" w:cs="Arial" w:eastAsia="Arial" w:hAnsi="Arial"/>
          <w:color w:val="000000"/>
          <w:sz w:val="22"/>
          <w:szCs w:val="22"/>
          <w:rtl w:val="0"/>
        </w:rPr>
        <w:t xml:space="preserve">– ilość punktów uzyskanych w kryterium: </w:t>
      </w:r>
      <w:r w:rsidDel="00000000" w:rsidR="00000000" w:rsidRPr="00000000">
        <w:rPr>
          <w:rFonts w:ascii="Arial" w:cs="Arial" w:eastAsia="Arial" w:hAnsi="Arial"/>
          <w:sz w:val="22"/>
          <w:szCs w:val="22"/>
          <w:rtl w:val="0"/>
        </w:rPr>
        <w:t xml:space="preserve">skrócenie terminu realizacji przedmiotu zamówienia.</w:t>
      </w:r>
      <w:r w:rsidDel="00000000" w:rsidR="00000000" w:rsidRPr="00000000">
        <w:rPr>
          <w:rtl w:val="0"/>
        </w:rPr>
      </w:r>
    </w:p>
    <w:p w:rsidR="00000000" w:rsidDel="00000000" w:rsidP="00000000" w:rsidRDefault="00000000" w:rsidRPr="00000000" w14:paraId="00000240">
      <w:pPr>
        <w:numPr>
          <w:ilvl w:val="0"/>
          <w:numId w:val="8"/>
        </w:num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Za ofertę najkorzystniejszą będzie uznana oferta, która przy uwzględnieniu powyższych kryteriów i ich wag otrzyma najwyższą punktację – maksymalnie 100 pkt.</w:t>
      </w:r>
    </w:p>
    <w:p w:rsidR="00000000" w:rsidDel="00000000" w:rsidP="00000000" w:rsidRDefault="00000000" w:rsidRPr="00000000" w14:paraId="00000241">
      <w:pPr>
        <w:numPr>
          <w:ilvl w:val="0"/>
          <w:numId w:val="8"/>
        </w:num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rsidR="00000000" w:rsidDel="00000000" w:rsidP="00000000" w:rsidRDefault="00000000" w:rsidRPr="00000000" w14:paraId="00000242">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Jeżeli oferty otrzymały taką samą ocenę w kryterium o najwyższej wadze, Zamawiający wybiera ofertę z najniższą ceną.</w:t>
      </w:r>
    </w:p>
    <w:p w:rsidR="00000000" w:rsidDel="00000000" w:rsidP="00000000" w:rsidRDefault="00000000" w:rsidRPr="00000000" w14:paraId="00000243">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Jeżeli nie można dokonać wyboru oferty w sposób, o którym mowa powyżej, Zamawiający wzywa Wykonawców, którzy złożyli te oferty, do złożenia w terminie określonym przez Zamawiającego ofert dodatkowych zawierających nową cenę.</w:t>
      </w:r>
    </w:p>
    <w:p w:rsidR="00000000" w:rsidDel="00000000" w:rsidP="00000000" w:rsidRDefault="00000000" w:rsidRPr="00000000" w14:paraId="00000244">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5.</w:t>
      </w:r>
      <w:r w:rsidDel="00000000" w:rsidR="00000000" w:rsidRPr="00000000">
        <w:rPr>
          <w:rFonts w:ascii="Arial" w:cs="Arial" w:eastAsia="Arial" w:hAnsi="Arial"/>
          <w:sz w:val="22"/>
          <w:szCs w:val="22"/>
          <w:rtl w:val="0"/>
        </w:rPr>
        <w:tab/>
        <w:t xml:space="preserve">Zgodnie z art. 223 ust. 1 ustawy Pzp, w toku badania i oceny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ustawy Pzp. oraz dokonywanie jakiejkolwiek zmiany w jej treści;</w:t>
      </w:r>
    </w:p>
    <w:p w:rsidR="00000000" w:rsidDel="00000000" w:rsidP="00000000" w:rsidRDefault="00000000" w:rsidRPr="00000000" w14:paraId="00000245">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Zamawiający poprawi w ofercie omyłki wskazane w art. 223 ust. 2 ustawy Pzp, niezwłocznie zawiadamiając o tym Wykonawcę, którego oferta zostanie poprawiona.</w:t>
      </w:r>
    </w:p>
    <w:p w:rsidR="00000000" w:rsidDel="00000000" w:rsidP="00000000" w:rsidRDefault="00000000" w:rsidRPr="00000000" w14:paraId="00000246">
      <w:pPr>
        <w:spacing w:after="0" w:line="240" w:lineRule="auto"/>
        <w:ind w:left="42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Zamawiający odrzuci złożoną ofertę, w przypadku wystąpienia przynajmniej jednej z okoliczności, o których mowa w art. 226 ust. 1 ustawy Pzp.</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nformacje o formalnościach, jakie muszą zostać dopełnione po wyborze oferty w celu zawarcia umowy w sprawie zamówienia publicznego:</w:t>
      </w:r>
      <w:r w:rsidDel="00000000" w:rsidR="00000000" w:rsidRPr="00000000">
        <w:rPr>
          <w:rtl w:val="0"/>
        </w:rPr>
      </w:r>
    </w:p>
    <w:p w:rsidR="00000000" w:rsidDel="00000000" w:rsidP="00000000" w:rsidRDefault="00000000" w:rsidRPr="00000000" w14:paraId="0000024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Umowa w sprawie zamówienia publicznego może zostać zawarta wyłącznie z Wykonawcą, którego oferta zostanie wybrana jako najkorzystniejsza, po upływie terminów określonych w art. 308 ust. 2 lub 3 ustawy Pzp.</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4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308 ust. 2 ustawy Pzp 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ww. terminu w przypadkach określonych w art. 308 ust. 3 ustawy Pzp.</w:t>
      </w:r>
    </w:p>
    <w:p w:rsidR="00000000" w:rsidDel="00000000" w:rsidP="00000000" w:rsidRDefault="00000000" w:rsidRPr="00000000" w14:paraId="0000024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wniesienia odwołania, z zastrzeżeniem wyjątków przewidzianych w ustawie, Zamawiający nie może zawrzeć umowy do czasu ogłoszenia przez Krajową Izbę Odwoławczą wyroku lub postanowienia kończącego postępowanie odwoławcze.</w:t>
      </w:r>
    </w:p>
    <w:p w:rsidR="00000000" w:rsidDel="00000000" w:rsidP="00000000" w:rsidRDefault="00000000" w:rsidRPr="00000000" w14:paraId="0000024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Wykonawców składających ofertę wspólną wynagrodzenie należne Wykonawcy domyślnie, jeżeli nie zostanie to wskazane inaczej, wpłacane będzie na konto podmiotu zwanego Liderem, wskazanego wspólnie przez podmioty występujące jako Wykonawca.</w:t>
      </w:r>
    </w:p>
    <w:p w:rsidR="00000000" w:rsidDel="00000000" w:rsidP="00000000" w:rsidRDefault="00000000" w:rsidRPr="00000000" w14:paraId="0000024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zobowiązany jest do wniesienia zabezpieczenia należytego wykonania umowy na warunkach określonych w ppkt. 31 SWZ.</w:t>
      </w:r>
    </w:p>
    <w:p w:rsidR="00000000" w:rsidDel="00000000" w:rsidP="00000000" w:rsidRDefault="00000000" w:rsidRPr="00000000" w14:paraId="0000024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zobowiązany jest do 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rsidR="00000000" w:rsidDel="00000000" w:rsidP="00000000" w:rsidRDefault="00000000" w:rsidRPr="00000000" w14:paraId="0000025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zobowiązany jest do złożenia innych oświadczeń lub dokumentów, które wynikają z projektowanych postanowień umowy w sprawie zamówienia publicznego, które zostaną wprowadzone do treści tej umowy.</w:t>
      </w:r>
    </w:p>
    <w:p w:rsidR="00000000" w:rsidDel="00000000" w:rsidP="00000000" w:rsidRDefault="00000000" w:rsidRPr="00000000" w14:paraId="0000025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Podpisanie umowy nastąpi w formie pisemnej zgodnie z art. 432 ustawy.</w:t>
      </w:r>
    </w:p>
    <w:p w:rsidR="00000000" w:rsidDel="00000000" w:rsidP="00000000" w:rsidRDefault="00000000" w:rsidRPr="00000000" w14:paraId="0000025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846" w:right="0" w:hanging="4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Zgodnie z art. 263 ustawy Pzp,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dotyczące zabezpieczenia należytego wykonania umowy, jeżeli zamawiający je przewiduje:</w:t>
      </w:r>
      <w:r w:rsidDel="00000000" w:rsidR="00000000" w:rsidRPr="00000000">
        <w:rPr>
          <w:rtl w:val="0"/>
        </w:rPr>
      </w:r>
    </w:p>
    <w:p w:rsidR="00000000" w:rsidDel="00000000" w:rsidP="00000000" w:rsidRDefault="00000000" w:rsidRPr="00000000" w14:paraId="0000025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Wykonawca zobowiązany jest przed zawarciem umowy do wniesienia zabezpieczenia należytego wykonania umowy na kwotę stanowiącą 5% ceny brutto podanej w ofercie w formach określonych w art. 450 ust. 1 ustawy Pzp:</w:t>
      </w:r>
    </w:p>
    <w:p w:rsidR="00000000" w:rsidDel="00000000" w:rsidP="00000000" w:rsidRDefault="00000000" w:rsidRPr="00000000" w14:paraId="0000025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pieniądzu – przelewem na rachunek bankowy nr: </w:t>
      </w:r>
      <w:r w:rsidDel="00000000" w:rsidR="00000000" w:rsidRPr="00000000">
        <w:rPr>
          <w:rFonts w:ascii="Helvetica Neue" w:cs="Helvetica Neue" w:eastAsia="Helvetica Neue" w:hAnsi="Helvetica Neue"/>
          <w:b w:val="1"/>
          <w:i w:val="0"/>
          <w:smallCaps w:val="0"/>
          <w:strike w:val="0"/>
          <w:color w:val="222222"/>
          <w:sz w:val="20"/>
          <w:szCs w:val="20"/>
          <w:highlight w:val="white"/>
          <w:u w:val="none"/>
          <w:vertAlign w:val="baseline"/>
          <w:rtl w:val="0"/>
        </w:rPr>
        <w:t xml:space="preserve">25 1130 1091 0003 9146 4520 0004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poręczeniach bankowych lub poręczeniach spółdzielczej kasy oszczędnościowo--kredytowej, z tym że zobowiązanie kasy jest zawsze zobowiązaniem pieniężnym;</w:t>
      </w:r>
    </w:p>
    <w:p w:rsidR="00000000" w:rsidDel="00000000" w:rsidP="00000000" w:rsidRDefault="00000000" w:rsidRPr="00000000" w14:paraId="0000025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gwarancjach bankowych;</w:t>
      </w:r>
    </w:p>
    <w:p w:rsidR="00000000" w:rsidDel="00000000" w:rsidP="00000000" w:rsidRDefault="00000000" w:rsidRPr="00000000" w14:paraId="0000025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gwarancjach ubezpieczeniowych;</w:t>
      </w:r>
    </w:p>
    <w:p w:rsidR="00000000" w:rsidDel="00000000" w:rsidP="00000000" w:rsidRDefault="00000000" w:rsidRPr="00000000" w14:paraId="0000025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poręczeniach udzielanych przez podmioty, o których mowa w art. 6b ust. 5 pkt 2 ustawy z dnia 9 listopada 2000 r. o utworzeniu Polskiej Agencji Rozwoju Przedsiębiorczości.</w:t>
      </w:r>
    </w:p>
    <w:p w:rsidR="00000000" w:rsidDel="00000000" w:rsidP="00000000" w:rsidRDefault="00000000" w:rsidRPr="00000000" w14:paraId="0000025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Zabezpieczenie służy pokryciu roszczeń z tytułu niewykonania lub nienależytego wykonania umowy.</w:t>
      </w:r>
    </w:p>
    <w:p w:rsidR="00000000" w:rsidDel="00000000" w:rsidP="00000000" w:rsidRDefault="00000000" w:rsidRPr="00000000" w14:paraId="0000025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57" w:before="0" w:line="264"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wyraża zgody na wniesienie zabezpieczenia w formach, o których mowa w art. 450 ust. 2 ustawy Pzp.</w:t>
      </w:r>
    </w:p>
    <w:p w:rsidR="00000000" w:rsidDel="00000000" w:rsidP="00000000" w:rsidRDefault="00000000" w:rsidRPr="00000000" w14:paraId="0000025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Dokument gwarancji (bankowej lub ubezpieczeniowej) musi zawierać nieodwołalną i bezwarunkową gwarancję płatną na pierwsze pisemne żądanie Zamawiającego.</w:t>
      </w:r>
    </w:p>
    <w:p w:rsidR="00000000" w:rsidDel="00000000" w:rsidP="00000000" w:rsidRDefault="00000000" w:rsidRPr="00000000" w14:paraId="0000025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wniesienia zabezpieczenia należytego wykonania umowy w formie innej niż w pieniądzu, przed podpisaniem umowy Wykonawca jest zobowiązany przedstawić do akceptacji Zamawiającemu treść dokumentu gwarancji (bankowej lub ubezpieczeniowej) lub poręczenia. Zaleca się, aby gwarancja zawierała poniższe postanowienia:</w:t>
      </w:r>
    </w:p>
    <w:p w:rsidR="00000000" w:rsidDel="00000000" w:rsidP="00000000" w:rsidRDefault="00000000" w:rsidRPr="00000000" w14:paraId="0000025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Gwarant nieodwołalnie i bezwarunkowo zobowiązuje się do zapłacenia Beneficjentowi, każdej kwoty lub kwot do ich łącznej maksymalnej wysokości wskazanej w gwarancji w terminie 14 dni po otrzymaniu od Beneficjenta pierwszego, pisemnego żądania zapłaty.</w:t>
      </w:r>
    </w:p>
    <w:p w:rsidR="00000000" w:rsidDel="00000000" w:rsidP="00000000" w:rsidRDefault="00000000" w:rsidRPr="00000000" w14:paraId="0000025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Gwarant nie może w jakimkolwiek celu badać żadnych dokumentów związanych z Umową, stanu faktycznego lub prawnego związanego z Umową lub dotyczącego stosunku zobowiązaniowego wynikającego z Umowy, w tym związanego z niewykonaniem lub nienależytym wykonaniem Umowy. Powyższe nie pozbawia Gwaranta uprawnienia do badania pod względem formalnym wymogów wynikających z Gwarancji, w tym do badania dokumentu Gwarancji, żądania zapłaty z Gwarancji i załączników do tego żądania.</w:t>
      </w:r>
    </w:p>
    <w:p w:rsidR="00000000" w:rsidDel="00000000" w:rsidP="00000000" w:rsidRDefault="00000000" w:rsidRPr="00000000" w14:paraId="0000026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Beneficjent ma prawo przekazać żądanie zapłaty Gwarantowi w następujący sposób:</w:t>
      </w:r>
    </w:p>
    <w:p w:rsidR="00000000" w:rsidDel="00000000" w:rsidP="00000000" w:rsidRDefault="00000000" w:rsidRPr="00000000" w14:paraId="0000026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418"/>
        </w:tabs>
        <w:spacing w:after="0" w:before="0" w:line="240" w:lineRule="auto"/>
        <w:ind w:left="1418" w:right="0" w:hanging="284.00000000000006"/>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 pośrednictwem banku prowadzącego rachunek Beneficjenta, na adres Gwaranta wskazany w niniejszej Gwarancji, który to bank potwierdzi, iż żądanie zapłaty zostało podpisane przez osoby uprawnione do składania oświadczeń woli w imieniu Beneficjenta lub przez niego upoważnione. Bank prowadzący rachunek Beneficjenta przekaże Gwarantowi w imieniu i na rzecz Beneficjenta żądanie zapłaty: bezpośrednio, listem poleconym, kurierem lub poprzez przesłanie kluczowanego komunikatu SWIFT* (w przypadku gwarancji bankowej*) wysłanego przez bank Beneficjenta na adres swiftowy: Kod BIC/SWIFT GOSKPLPW; W przypadku przesłania żądania w formie kluczowanego komunikatu przekazanego za pośrednictwem systemu SWIFT bank Beneficjenta powinien dodatkowo potwierdzić w komunikacie, że przesłany komunikat dokładnie oddaje treść żądania wypłaty, a oryginalne żądanie wypłaty zostało przesłane na adres Banku.</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albo</w:t>
      </w:r>
    </w:p>
    <w:p w:rsidR="00000000" w:rsidDel="00000000" w:rsidP="00000000" w:rsidRDefault="00000000" w:rsidRPr="00000000" w14:paraId="0000026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418"/>
        </w:tabs>
        <w:spacing w:after="0" w:before="0" w:line="240" w:lineRule="auto"/>
        <w:ind w:left="1418" w:right="0" w:hanging="284.00000000000006"/>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bezpośrednio, listem poleconym lub kurierem na adres Gwaranta wskazany w niniejszej Gwarancji, przy czym podpisy osób uprawnionych do składania oświadczeń woli w imieniu Beneficjenta lub przez niego upoważnionych, zostaną potwierdzone przez notariusza. Do żądania zapłaty złożonego w tej formie Beneficjent dołączy odpisy notarialne dokumentów potwierdzających prawidłowość reprezentacji osób uprawnionych lub przez niego upoważnionych do składania w jego imieniu oświadczeń woli.</w:t>
      </w:r>
    </w:p>
    <w:p w:rsidR="00000000" w:rsidDel="00000000" w:rsidP="00000000" w:rsidRDefault="00000000" w:rsidRPr="00000000" w14:paraId="0000026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koniec terminu do złożenia żądania zapłaty z Gwarancji przypada na sobotę, dzień ustawowo wolny od pracy lub inny dzień, w którym Gwarant nie prowadzi działalności operacyjnej, wówczas termin ten ulega wydłużeniu do najbliższego dnia, w którym Gwarant prowadzi działalność operacyjną.</w:t>
      </w:r>
    </w:p>
    <w:p w:rsidR="00000000" w:rsidDel="00000000" w:rsidP="00000000" w:rsidRDefault="00000000" w:rsidRPr="00000000" w14:paraId="0000026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Żadna zmiana lub uzupełnienie warunków Umowy lub zakresu zamówienia, które mogą zostać przeprowadzone na podstawie Umowy lub w jakichkolwiek dokumentach umownych jakie mogą zostać sporządzone między Beneficjentem a Wykonawcą, nie zwalniają Gwaranta od odpowiedzialności wynikającej z niniejszej Gwarancji i niniejszym Gwarant rezygnuje z konieczności powiadamiania o takiej zmianie lub uzupełnieniu.</w:t>
      </w:r>
    </w:p>
    <w:p w:rsidR="00000000" w:rsidDel="00000000" w:rsidP="00000000" w:rsidRDefault="00000000" w:rsidRPr="00000000" w14:paraId="0000026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Wierzytelność z tytułu Gwarancji nie może być przedmiotem cesji (przelewu) na rzecz osoby trzeciej, bez zgody Gwaranta.</w:t>
      </w:r>
    </w:p>
    <w:p w:rsidR="00000000" w:rsidDel="00000000" w:rsidP="00000000" w:rsidRDefault="00000000" w:rsidRPr="00000000" w14:paraId="0000026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Gwarancja zostanie sporządzona zgodnie z polskim prawem i temu prawu podlega.</w:t>
      </w:r>
    </w:p>
    <w:p w:rsidR="00000000" w:rsidDel="00000000" w:rsidP="00000000" w:rsidRDefault="00000000" w:rsidRPr="00000000" w14:paraId="0000026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Wszelkie spory mogące wyniknąć w związku z Gwarancją, będą rozstrzygane przez sąd powszechny, właściwy miejscowo dla siedziby Beneficjenta.</w:t>
      </w:r>
    </w:p>
    <w:p w:rsidR="00000000" w:rsidDel="00000000" w:rsidP="00000000" w:rsidRDefault="00000000" w:rsidRPr="00000000" w14:paraId="0000026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Dokument Zamawiający zwróci zabezpieczenie należytego wykonania umowy w terminie i na warunkach określonych w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Projektowanych postanowieniach umowy (załącznik nr 3 do SWZ).</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000000" w:rsidDel="00000000" w:rsidP="00000000" w:rsidRDefault="00000000" w:rsidRPr="00000000" w14:paraId="0000026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000000" w:rsidDel="00000000" w:rsidP="00000000" w:rsidRDefault="00000000" w:rsidRPr="00000000" w14:paraId="0000026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Wypłata, o której mowa w ppkt. 8 następuje nie później niż w ostatnim dniu ważności dotychczasowego zabezpieczenia.</w:t>
      </w:r>
    </w:p>
    <w:p w:rsidR="00000000" w:rsidDel="00000000" w:rsidP="00000000" w:rsidRDefault="00000000" w:rsidRPr="00000000" w14:paraId="0000026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zwraca zabezpieczenie w terminie 30 dni od dnia wykonania zamówienia i uznania przez zamawiającego za należycie wykonane.</w:t>
      </w:r>
    </w:p>
    <w:p w:rsidR="00000000" w:rsidDel="00000000" w:rsidP="00000000" w:rsidRDefault="00000000" w:rsidRPr="00000000" w14:paraId="0000026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może pozostawić na zabezpieczenie roszczeń z tytułu rękojmi za wady lub gwarancji kwotę nieprzekraczającą 30% zabezpieczenia.</w:t>
      </w:r>
    </w:p>
    <w:p w:rsidR="00000000" w:rsidDel="00000000" w:rsidP="00000000" w:rsidRDefault="00000000" w:rsidRPr="00000000" w14:paraId="0000026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Kwota, o której mowa w ppkt. 11, jest zwracana nie później niż w 15. dniu po upływie okresu rękojmi za wady lub gwarancji.</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dotyczące walut obcych, w jakich mogą być prowadzone rozliczenia między zamawiającym a wykonawcą, jeżeli zamawiający przewiduje rozliczenia w walutach obcych:</w:t>
      </w: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rozliczenia w walutach obcych.</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Rozliczenia będą się odbywały w walucie polskiej, tj. w złotych polskich.</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Informacje dotyczące zwrotu kosztów udziału w postępowaniu, jeżeli zamawiający przewiduje ich zwrot:</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zwrotu kosztów udziału w postępowaniu.</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Maksymalna liczba wykonawców, z którymi zamawiający zawrze umowę ramową, jeżeli zamawiający przewiduje zawarcie umowy ramowej:</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zawarcia umowy ramowej.</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bookmarkStart w:colFirst="0" w:colLast="0" w:name="_17dp8vu" w:id="11"/>
      <w:bookmarkEnd w:id="11"/>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Informacja o przewidywanym wyborze najkorzystniejszej oferty z zastosowaniem aukcji elektronicznej wraz z informacjami, o których mowa w art. 230, jeżeli zamawiający przewiduje aukcję elektroniczną:</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w niniejszym postępowaniu wyboru najkorzystniejszej oferty z zastosowaniem aukcji elektronicznej.</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Wymóg lub możliwość złożenia ofert w postaci katalogów elektronicznych lub dołączenia katalogów elektronicznych do oferty, w sytuacji określonej w art. 93:</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Zamawiający nie przewiduje ani wymogu ani możliwości złożenia ofert w postaci katalogów elektronicznych.</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2"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Pouczenie o środkach ochrony prawnej przysługujących wykonawcy:</w:t>
      </w:r>
      <w:r w:rsidDel="00000000" w:rsidR="00000000" w:rsidRPr="00000000">
        <w:rPr>
          <w:rtl w:val="0"/>
        </w:rPr>
      </w:r>
    </w:p>
    <w:p w:rsidR="00000000" w:rsidDel="00000000" w:rsidP="00000000" w:rsidRDefault="00000000" w:rsidRPr="00000000" w14:paraId="0000028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Wykonawcy, a także innemu podmiotowi, jeżeli ma lub miał interes w uzyskaniu zamówienia oraz poniósł lub może ponieść szkodę w wyniku naruszenia przez Zamawiającego przepisów ustawy Pzp, przysługują środki ochrony prawnej określone w Dziale IX ustawy Pzp.</w:t>
      </w:r>
    </w:p>
    <w:p w:rsidR="00000000" w:rsidDel="00000000" w:rsidP="00000000" w:rsidRDefault="00000000" w:rsidRPr="00000000" w14:paraId="0000028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000000" w:rsidDel="00000000" w:rsidP="00000000" w:rsidRDefault="00000000" w:rsidRPr="00000000" w14:paraId="0000028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Postępowanie odwoławcze jest prowadzone w języku polskim.</w:t>
      </w:r>
    </w:p>
    <w:p w:rsidR="00000000" w:rsidDel="00000000" w:rsidP="00000000" w:rsidRDefault="00000000" w:rsidRPr="00000000" w14:paraId="0000028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Wszystkie dokumenty przedstawia się w języku polskim, a jeżeli zostały sporządzone w języku obcym, strona oraz uczestnik postępowania odwoławczego, który się na nie powołuje, przedstawia ich tłumaczenie na język polski.</w:t>
      </w:r>
    </w:p>
    <w:p w:rsidR="00000000" w:rsidDel="00000000" w:rsidP="00000000" w:rsidRDefault="00000000" w:rsidRPr="00000000" w14:paraId="0000028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Pisma składane w toku postępowania odwoławczego przez strony oraz uczestników postępowania odwoławczego wnosi się z odpisami dla stron oraz uczestników postępowania odwoławczego, jeżeli pisma te składane są w formie pisemnej.</w:t>
      </w:r>
    </w:p>
    <w:p w:rsidR="00000000" w:rsidDel="00000000" w:rsidP="00000000" w:rsidRDefault="00000000" w:rsidRPr="00000000" w14:paraId="0000028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000000" w:rsidDel="00000000" w:rsidP="00000000" w:rsidRDefault="00000000" w:rsidRPr="00000000" w14:paraId="0000028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 tym na adres do doręczeń elektronicznych, o którym mowa w art. 2 pkt 1 ustawy z dnia 18 listopada 2020 r. o doręczeniach elektronicznych (Dz. U. z 2022 r. poz. 569 i 1002).</w:t>
      </w:r>
    </w:p>
    <w:p w:rsidR="00000000" w:rsidDel="00000000" w:rsidP="00000000" w:rsidRDefault="00000000" w:rsidRPr="00000000" w14:paraId="0000028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Terminy oblicza się według przepisów prawa cywilnego.</w:t>
      </w:r>
    </w:p>
    <w:p w:rsidR="00000000" w:rsidDel="00000000" w:rsidP="00000000" w:rsidRDefault="00000000" w:rsidRPr="00000000" w14:paraId="0000028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koniec terminu do wykonania czynności przypada na sobotę lub dzień ustawowo wolny od pracy, termin upływa dnia następnego po dniu lub dniach wolnych od pracy.</w:t>
      </w:r>
    </w:p>
    <w:p w:rsidR="00000000" w:rsidDel="00000000" w:rsidP="00000000" w:rsidRDefault="00000000" w:rsidRPr="00000000" w14:paraId="0000028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Pełnomocnikiem może być adwokat lub radca prawny, a ponadto osoba sprawująca zarząd majątkiem lub interesami strony lub uczestnika postępowania oraz osoba pozostająca ze stroną lub uczestnikiem postępowania w stosunku zlecenia, jeżeli przedmiot sprawy wchodzi w zakres tego zlecenia.</w:t>
      </w:r>
    </w:p>
    <w:p w:rsidR="00000000" w:rsidDel="00000000" w:rsidP="00000000" w:rsidRDefault="00000000" w:rsidRPr="00000000" w14:paraId="0000028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Pełnomocnikiem osoby prawnej, przedsiębiorcy, w tym nieposiadającego osobowości prawnej, lub jednostki nieposiadającej osobowości prawnej może być również pracownik tej jednostki.</w:t>
      </w:r>
    </w:p>
    <w:p w:rsidR="00000000" w:rsidDel="00000000" w:rsidP="00000000" w:rsidRDefault="00000000" w:rsidRPr="00000000" w14:paraId="0000028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przysługuje na:</w:t>
      </w:r>
    </w:p>
    <w:p w:rsidR="00000000" w:rsidDel="00000000" w:rsidP="00000000" w:rsidRDefault="00000000" w:rsidRPr="00000000" w14:paraId="0000028E">
      <w:pPr>
        <w:tabs>
          <w:tab w:val="left" w:leader="none" w:pos="851"/>
        </w:tabs>
        <w:spacing w:after="0" w:line="240" w:lineRule="auto"/>
        <w:ind w:left="1134" w:hanging="283"/>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niezgodną z przepisami ustawy Pzp czynność Zamawiającego, podjętą w postępowaniu o udzielenie zamówienia w tym na projektowane postanowienie umowy;</w:t>
      </w:r>
    </w:p>
    <w:p w:rsidR="00000000" w:rsidDel="00000000" w:rsidP="00000000" w:rsidRDefault="00000000" w:rsidRPr="00000000" w14:paraId="0000028F">
      <w:pPr>
        <w:spacing w:after="0" w:line="240" w:lineRule="auto"/>
        <w:ind w:left="1134" w:hanging="283"/>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zaniechanie czynności w postępowaniu o udzielenie zamówienia, do której Zamawiający był obowiązany na podstawie ustawy Pzp.</w:t>
      </w:r>
    </w:p>
    <w:p w:rsidR="00000000" w:rsidDel="00000000" w:rsidP="00000000" w:rsidRDefault="00000000" w:rsidRPr="00000000" w14:paraId="0000029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wnosi się do Prezesa Izby.</w:t>
      </w:r>
    </w:p>
    <w:p w:rsidR="00000000" w:rsidDel="00000000" w:rsidP="00000000" w:rsidRDefault="00000000" w:rsidRPr="00000000" w14:paraId="0000029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000000" w:rsidDel="00000000" w:rsidP="00000000" w:rsidRDefault="00000000" w:rsidRPr="00000000" w14:paraId="0000029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000000" w:rsidDel="00000000" w:rsidP="00000000" w:rsidRDefault="00000000" w:rsidRPr="00000000" w14:paraId="0000029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wnosi się w terminie:</w:t>
      </w:r>
    </w:p>
    <w:p w:rsidR="00000000" w:rsidDel="00000000" w:rsidP="00000000" w:rsidRDefault="00000000" w:rsidRPr="00000000" w14:paraId="0000029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dni od dnia przekazania informacji o czynności zamawiającego stanowiącej podstawę jego wniesienia, jeżeli informacja została przekazana przy użyciu środków komunikacji elektronicznej,</w:t>
      </w:r>
    </w:p>
    <w:p w:rsidR="00000000" w:rsidDel="00000000" w:rsidP="00000000" w:rsidRDefault="00000000" w:rsidRPr="00000000" w14:paraId="0000029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dni od dnia przekazania informacji o czynności zamawiającego stanowiącej podstawę jego wniesienia, jeżeli informacja została przekazana w sposób inny niż określony w lit. a.</w:t>
      </w:r>
    </w:p>
    <w:p w:rsidR="00000000" w:rsidDel="00000000" w:rsidP="00000000" w:rsidRDefault="00000000" w:rsidRPr="00000000" w14:paraId="0000029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rsidR="00000000" w:rsidDel="00000000" w:rsidP="00000000" w:rsidRDefault="00000000" w:rsidRPr="00000000" w14:paraId="0000029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w przypadkach innych niż określone w ppkt. 16 i 17 wnosi się w terminie 5 dni od dnia, w którym powzięto lub przy zachowaniu należytej staranności można było powziąć wiadomość o okolicznościach stanowiących podstawę jego wniesienia.</w:t>
      </w:r>
    </w:p>
    <w:p w:rsidR="00000000" w:rsidDel="00000000" w:rsidP="00000000" w:rsidRDefault="00000000" w:rsidRPr="00000000" w14:paraId="0000029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000000" w:rsidDel="00000000" w:rsidP="00000000" w:rsidRDefault="00000000" w:rsidRPr="00000000" w14:paraId="00000299">
      <w:pPr>
        <w:spacing w:after="0" w:line="240" w:lineRule="auto"/>
        <w:ind w:left="1276" w:hanging="425"/>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15 dni od dnia zamieszczenia w Biuletynie Zamówień Publicznych ogłoszenia o wyniku postępowania,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rsidR="00000000" w:rsidDel="00000000" w:rsidP="00000000" w:rsidRDefault="00000000" w:rsidRPr="00000000" w14:paraId="0000029A">
      <w:pPr>
        <w:spacing w:after="0" w:line="240" w:lineRule="auto"/>
        <w:ind w:left="1276" w:hanging="425"/>
        <w:rPr>
          <w:rFonts w:ascii="Arial" w:cs="Arial" w:eastAsia="Arial" w:hAnsi="Arial"/>
          <w:sz w:val="22"/>
          <w:szCs w:val="22"/>
        </w:rPr>
      </w:pPr>
      <w:r w:rsidDel="00000000" w:rsidR="00000000" w:rsidRPr="00000000">
        <w:rPr>
          <w:rFonts w:ascii="Arial" w:cs="Arial" w:eastAsia="Arial" w:hAnsi="Arial"/>
          <w:sz w:val="22"/>
          <w:szCs w:val="22"/>
          <w:rtl w:val="0"/>
        </w:rPr>
        <w:t xml:space="preserve">2)</w:t>
        <w:tab/>
        <w:t xml:space="preserve">miesiąca od dnia zawarcia umowy, jeżeli zamawiający:</w:t>
      </w:r>
    </w:p>
    <w:p w:rsidR="00000000" w:rsidDel="00000000" w:rsidP="00000000" w:rsidRDefault="00000000" w:rsidRPr="00000000" w14:paraId="0000029B">
      <w:pPr>
        <w:spacing w:after="0" w:line="240" w:lineRule="auto"/>
        <w:ind w:left="1701" w:hanging="425"/>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nie zamieścił w Biuletynie Zamówień Publicznych ogłoszenia o wyniku postępowania albo</w:t>
      </w:r>
    </w:p>
    <w:p w:rsidR="00000000" w:rsidDel="00000000" w:rsidP="00000000" w:rsidRDefault="00000000" w:rsidRPr="00000000" w14:paraId="0000029C">
      <w:pPr>
        <w:spacing w:after="0" w:line="240" w:lineRule="auto"/>
        <w:ind w:left="1701" w:hanging="425"/>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zamieścił w Biuletynie Zamówień Publicznych ogłoszenie o wyniku postępowania, które nie zawiera uzasadnienia udzielenia zamówienia w trybie negocjacji bez ogłoszenia albo zamówienia z wolnej ręki.</w:t>
      </w:r>
    </w:p>
    <w:p w:rsidR="00000000" w:rsidDel="00000000" w:rsidP="00000000" w:rsidRDefault="00000000" w:rsidRPr="00000000" w14:paraId="0000029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Odwołanie zawiera:</w:t>
      </w:r>
    </w:p>
    <w:p w:rsidR="00000000" w:rsidDel="00000000" w:rsidP="00000000" w:rsidRDefault="00000000" w:rsidRPr="00000000" w14:paraId="000002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imię i nazwisko albo nazwę, miejsce zamieszkania albo siedzibę, numer telefonu oraz adres poczty elektronicznej odwołującego oraz imię i nazwisko przedstawiciela (przedstawicieli);</w:t>
      </w:r>
    </w:p>
    <w:p w:rsidR="00000000" w:rsidDel="00000000" w:rsidP="00000000" w:rsidRDefault="00000000" w:rsidRPr="00000000" w14:paraId="0000029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nazwę i siedzibę zamawiającego, numer telefonu oraz adres poczty elektronicznej zamawiającego;</w:t>
      </w:r>
    </w:p>
    <w:p w:rsidR="00000000" w:rsidDel="00000000" w:rsidP="00000000" w:rsidRDefault="00000000" w:rsidRPr="00000000" w14:paraId="000002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numer Powszechnego Elektronicznego Systemu Ewidencji Ludności (PESEL) lub NIP odwołującego będącego osobą fizyczną, jeżeli jest on obowiązany do jego posiadania albo posiada go nie mając takiego obowiązku;</w:t>
      </w:r>
    </w:p>
    <w:p w:rsidR="00000000" w:rsidDel="00000000" w:rsidP="00000000" w:rsidRDefault="00000000" w:rsidRPr="00000000" w14:paraId="000002A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000000" w:rsidDel="00000000" w:rsidP="00000000" w:rsidRDefault="00000000" w:rsidRPr="00000000" w14:paraId="000002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określenie przedmiotu zamówienia;</w:t>
      </w:r>
    </w:p>
    <w:p w:rsidR="00000000" w:rsidDel="00000000" w:rsidP="00000000" w:rsidRDefault="00000000" w:rsidRPr="00000000" w14:paraId="000002A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wskazanie numeru ogłoszenia w przypadku zamieszczenia w Biuletynie Zamówień Publicznych;</w:t>
      </w:r>
    </w:p>
    <w:p w:rsidR="00000000" w:rsidDel="00000000" w:rsidP="00000000" w:rsidRDefault="00000000" w:rsidRPr="00000000" w14:paraId="000002A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wskazanie czynności lub zaniechania czynności zamawiającego, której zarzuca się niezgodność z przepisami ustawy,</w:t>
      </w:r>
    </w:p>
    <w:p w:rsidR="00000000" w:rsidDel="00000000" w:rsidP="00000000" w:rsidRDefault="00000000" w:rsidRPr="00000000" w14:paraId="000002A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zwięzłe przedstawienie zarzutów;</w:t>
      </w:r>
    </w:p>
    <w:p w:rsidR="00000000" w:rsidDel="00000000" w:rsidP="00000000" w:rsidRDefault="00000000" w:rsidRPr="00000000" w14:paraId="000002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żądanie co do sposobu rozstrzygnięcia odwołania;</w:t>
      </w:r>
    </w:p>
    <w:p w:rsidR="00000000" w:rsidDel="00000000" w:rsidP="00000000" w:rsidRDefault="00000000" w:rsidRPr="00000000" w14:paraId="000002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wskazanie okoliczności faktycznych i prawnych uzasadniających wniesienie odwołania oraz dowodów na poparcie przytoczonych okoliczności;</w:t>
      </w:r>
    </w:p>
    <w:p w:rsidR="00000000" w:rsidDel="00000000" w:rsidP="00000000" w:rsidRDefault="00000000" w:rsidRPr="00000000" w14:paraId="000002A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podpis odwołującego albo jego przedstawiciela lub przedstawicieli;</w:t>
      </w:r>
    </w:p>
    <w:p w:rsidR="00000000" w:rsidDel="00000000" w:rsidP="00000000" w:rsidRDefault="00000000" w:rsidRPr="00000000" w14:paraId="000002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wykaz załączników.</w:t>
      </w:r>
    </w:p>
    <w:p w:rsidR="00000000" w:rsidDel="00000000" w:rsidP="00000000" w:rsidRDefault="00000000" w:rsidRPr="00000000" w14:paraId="000002A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odwołania dołącza się:</w:t>
      </w:r>
    </w:p>
    <w:p w:rsidR="00000000" w:rsidDel="00000000" w:rsidP="00000000" w:rsidRDefault="00000000" w:rsidRPr="00000000" w14:paraId="000002A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146" w:right="0" w:hanging="29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dowód uiszczenia wpisu od odwołania w wymaganej wysokości;</w:t>
      </w:r>
    </w:p>
    <w:p w:rsidR="00000000" w:rsidDel="00000000" w:rsidP="00000000" w:rsidRDefault="00000000" w:rsidRPr="00000000" w14:paraId="000002A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146" w:right="0" w:hanging="29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dowód przekazania odpowiednio odwołania albo jego kopii zamawiającemu;</w:t>
      </w:r>
    </w:p>
    <w:p w:rsidR="00000000" w:rsidDel="00000000" w:rsidP="00000000" w:rsidRDefault="00000000" w:rsidRPr="00000000" w14:paraId="000002A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146" w:right="0" w:hanging="29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dokument potwierdzający umocowanie do reprezentowania odwołującego.</w:t>
      </w:r>
    </w:p>
    <w:p w:rsidR="00000000" w:rsidDel="00000000" w:rsidP="00000000" w:rsidRDefault="00000000" w:rsidRPr="00000000" w14:paraId="000002A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Szczegółowe zasady postępowania po wniesieniu odwołania, określają stosowne przepisy Działu IX ustawy Pzp.</w:t>
      </w:r>
    </w:p>
    <w:p w:rsidR="00000000" w:rsidDel="00000000" w:rsidP="00000000" w:rsidRDefault="00000000" w:rsidRPr="00000000" w14:paraId="000002A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 orzeczenie Krajowej Izby Odwoławczej oraz postanowienie Prezesa Izby, stronom oraz uczestnikom postępowania odwoławczego przysługuje skarga do sądu.</w:t>
      </w:r>
    </w:p>
    <w:p w:rsidR="00000000" w:rsidDel="00000000" w:rsidP="00000000" w:rsidRDefault="00000000" w:rsidRPr="00000000" w14:paraId="000002B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Skargę wnosi się do Sądu Okręgowego w Warszawie - sądu zamówień publicznych, za pośrednictwem Prezesa Krajowej Izby Odwoławczej w terminie 14 dni od dnia doręczenia orzeczenia Krajowej Izby Odwoławczej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rsidR="00000000" w:rsidDel="00000000" w:rsidP="00000000" w:rsidRDefault="00000000" w:rsidRPr="00000000" w14:paraId="000002B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 zasadach określonych w art. 590 ustawy Pzp od wyroku sądu lub postanowienia kończącego postępowanie w sprawie przysługuje skarga kasacyjna do Sądu Najwyższego.</w:t>
      </w:r>
    </w:p>
    <w:p w:rsidR="00000000" w:rsidDel="00000000" w:rsidP="00000000" w:rsidRDefault="00000000" w:rsidRPr="00000000" w14:paraId="000002B2">
      <w:pPr>
        <w:spacing w:after="0" w:line="240" w:lineRule="auto"/>
        <w:ind w:left="1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3">
      <w:pPr>
        <w:spacing w:after="0" w:line="240" w:lineRule="auto"/>
        <w:ind w:left="1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after="0" w:line="240" w:lineRule="auto"/>
        <w:ind w:left="1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5">
      <w:pPr>
        <w:spacing w:after="0" w:line="240" w:lineRule="auto"/>
        <w:ind w:left="1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tabs>
          <w:tab w:val="center" w:leader="none" w:pos="4607"/>
        </w:tabs>
        <w:spacing w:line="360" w:lineRule="auto"/>
        <w:ind w:right="28"/>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Załączniki:</w:t>
      </w:r>
    </w:p>
    <w:tbl>
      <w:tblPr>
        <w:tblStyle w:val="Table2"/>
        <w:tblW w:w="9046.0" w:type="dxa"/>
        <w:jc w:val="left"/>
        <w:tblBorders>
          <w:top w:color="000000" w:space="0" w:sz="0" w:val="nil"/>
          <w:left w:color="000000" w:space="0" w:sz="0" w:val="nil"/>
          <w:bottom w:color="000000" w:space="0" w:sz="4" w:val="single"/>
          <w:right w:color="000000" w:space="0" w:sz="0" w:val="nil"/>
          <w:insideH w:color="000000" w:space="0" w:sz="4" w:val="single"/>
          <w:insideV w:color="000000" w:space="0" w:sz="0" w:val="nil"/>
        </w:tblBorders>
        <w:tblLayout w:type="fixed"/>
        <w:tblLook w:val="0400"/>
      </w:tblPr>
      <w:tblGrid>
        <w:gridCol w:w="2268"/>
        <w:gridCol w:w="6778"/>
        <w:tblGridChange w:id="0">
          <w:tblGrid>
            <w:gridCol w:w="2268"/>
            <w:gridCol w:w="6778"/>
          </w:tblGrid>
        </w:tblGridChange>
      </w:tblGrid>
      <w:tr>
        <w:trPr>
          <w:cantSplit w:val="0"/>
          <w:trHeight w:val="415" w:hRule="atLeast"/>
          <w:tblHeader w:val="0"/>
        </w:trPr>
        <w:tc>
          <w:tcPr>
            <w:vAlign w:val="center"/>
          </w:tcPr>
          <w:p w:rsidR="00000000" w:rsidDel="00000000" w:rsidP="00000000" w:rsidRDefault="00000000" w:rsidRPr="00000000" w14:paraId="000002B7">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1</w:t>
            </w:r>
          </w:p>
        </w:tc>
        <w:tc>
          <w:tcPr>
            <w:vAlign w:val="center"/>
          </w:tcPr>
          <w:p w:rsidR="00000000" w:rsidDel="00000000" w:rsidP="00000000" w:rsidRDefault="00000000" w:rsidRPr="00000000" w14:paraId="000002B8">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Opis Przedmiotu Zamówienia (opis przedmiotu zamówienia, przedmiar robót, specyfikacje techniczne wykonania i odbioru robót budowlanych, dokumentacja projektowa)</w:t>
            </w:r>
          </w:p>
        </w:tc>
      </w:tr>
      <w:tr>
        <w:trPr>
          <w:cantSplit w:val="0"/>
          <w:trHeight w:val="562" w:hRule="atLeast"/>
          <w:tblHeader w:val="0"/>
        </w:trPr>
        <w:tc>
          <w:tcPr>
            <w:vAlign w:val="center"/>
          </w:tcPr>
          <w:p w:rsidR="00000000" w:rsidDel="00000000" w:rsidP="00000000" w:rsidRDefault="00000000" w:rsidRPr="00000000" w14:paraId="000002B9">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2</w:t>
            </w:r>
          </w:p>
        </w:tc>
        <w:tc>
          <w:tcPr>
            <w:vAlign w:val="center"/>
          </w:tcPr>
          <w:p w:rsidR="00000000" w:rsidDel="00000000" w:rsidP="00000000" w:rsidRDefault="00000000" w:rsidRPr="00000000" w14:paraId="000002BA">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Formularz oferty</w:t>
            </w:r>
          </w:p>
        </w:tc>
      </w:tr>
      <w:tr>
        <w:trPr>
          <w:cantSplit w:val="0"/>
          <w:trHeight w:val="840" w:hRule="atLeast"/>
          <w:tblHeader w:val="0"/>
        </w:trPr>
        <w:tc>
          <w:tcPr>
            <w:vAlign w:val="center"/>
          </w:tcPr>
          <w:p w:rsidR="00000000" w:rsidDel="00000000" w:rsidP="00000000" w:rsidRDefault="00000000" w:rsidRPr="00000000" w14:paraId="000002BB">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3</w:t>
            </w:r>
          </w:p>
        </w:tc>
        <w:tc>
          <w:tcPr>
            <w:vAlign w:val="center"/>
          </w:tcPr>
          <w:p w:rsidR="00000000" w:rsidDel="00000000" w:rsidP="00000000" w:rsidRDefault="00000000" w:rsidRPr="00000000" w14:paraId="000002BC">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Projektowane postanowienia umowy, które zostaną wprowadzone do treści umowy w sprawie zamówienia</w:t>
            </w:r>
          </w:p>
        </w:tc>
      </w:tr>
      <w:tr>
        <w:trPr>
          <w:cantSplit w:val="0"/>
          <w:trHeight w:val="407" w:hRule="atLeast"/>
          <w:tblHeader w:val="0"/>
        </w:trPr>
        <w:tc>
          <w:tcPr>
            <w:vAlign w:val="center"/>
          </w:tcPr>
          <w:p w:rsidR="00000000" w:rsidDel="00000000" w:rsidP="00000000" w:rsidRDefault="00000000" w:rsidRPr="00000000" w14:paraId="000002BD">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4.</w:t>
            </w:r>
          </w:p>
        </w:tc>
        <w:tc>
          <w:tcPr>
            <w:vAlign w:val="center"/>
          </w:tcPr>
          <w:p w:rsidR="00000000" w:rsidDel="00000000" w:rsidP="00000000" w:rsidRDefault="00000000" w:rsidRPr="00000000" w14:paraId="000002BE">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Wzór oświadczenia o którym mowa w art. 125 ust. 1 ustawy Pzp, o niepodleganiu wykluczeniu z postępowania oraz spełnianiu warunków udziału w postępowaniu</w:t>
            </w:r>
          </w:p>
          <w:p w:rsidR="00000000" w:rsidDel="00000000" w:rsidP="00000000" w:rsidRDefault="00000000" w:rsidRPr="00000000" w14:paraId="000002BF">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oraz</w:t>
            </w:r>
          </w:p>
          <w:p w:rsidR="00000000" w:rsidDel="00000000" w:rsidP="00000000" w:rsidRDefault="00000000" w:rsidRPr="00000000" w14:paraId="000002C0">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Wzór oświadczenia podmiotu udostępniającego zasoby o braku podstaw wykluczenia oraz spełnianiu warunków udziału w postępowaniu, w zakresie w jakim Wykonawca powołuje się na jego zasoby</w:t>
            </w:r>
          </w:p>
        </w:tc>
      </w:tr>
      <w:tr>
        <w:trPr>
          <w:cantSplit w:val="0"/>
          <w:trHeight w:val="525" w:hRule="atLeast"/>
          <w:tblHeader w:val="0"/>
        </w:trPr>
        <w:tc>
          <w:tcPr>
            <w:vAlign w:val="center"/>
          </w:tcPr>
          <w:p w:rsidR="00000000" w:rsidDel="00000000" w:rsidP="00000000" w:rsidRDefault="00000000" w:rsidRPr="00000000" w14:paraId="000002C1">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5.</w:t>
            </w:r>
          </w:p>
        </w:tc>
        <w:tc>
          <w:tcPr>
            <w:vAlign w:val="center"/>
          </w:tcPr>
          <w:p w:rsidR="00000000" w:rsidDel="00000000" w:rsidP="00000000" w:rsidRDefault="00000000" w:rsidRPr="00000000" w14:paraId="000002C2">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Zobowiązanie podmiotu udostępniającego Wykonawcy zasoby, do oddania do dyspozycji Wykonawcy niezbędnych zasobów na potrzeby realizacji zamówienia</w:t>
            </w:r>
          </w:p>
        </w:tc>
      </w:tr>
      <w:tr>
        <w:trPr>
          <w:cantSplit w:val="0"/>
          <w:trHeight w:val="525" w:hRule="atLeast"/>
          <w:tblHeader w:val="0"/>
        </w:trPr>
        <w:tc>
          <w:tcPr>
            <w:vAlign w:val="center"/>
          </w:tcPr>
          <w:p w:rsidR="00000000" w:rsidDel="00000000" w:rsidP="00000000" w:rsidRDefault="00000000" w:rsidRPr="00000000" w14:paraId="000002C3">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6</w:t>
            </w:r>
          </w:p>
        </w:tc>
        <w:tc>
          <w:tcPr>
            <w:vAlign w:val="center"/>
          </w:tcPr>
          <w:p w:rsidR="00000000" w:rsidDel="00000000" w:rsidP="00000000" w:rsidRDefault="00000000" w:rsidRPr="00000000" w14:paraId="000002C4">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Oświadczenie, o którym mowa w art. 117 ust. 4 ustawy Pzp</w:t>
            </w:r>
          </w:p>
        </w:tc>
      </w:tr>
      <w:tr>
        <w:trPr>
          <w:cantSplit w:val="0"/>
          <w:trHeight w:val="525" w:hRule="atLeast"/>
          <w:tblHeader w:val="0"/>
        </w:trPr>
        <w:tc>
          <w:tcPr>
            <w:vAlign w:val="center"/>
          </w:tcPr>
          <w:p w:rsidR="00000000" w:rsidDel="00000000" w:rsidP="00000000" w:rsidRDefault="00000000" w:rsidRPr="00000000" w14:paraId="000002C5">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7a.</w:t>
            </w:r>
          </w:p>
        </w:tc>
        <w:tc>
          <w:tcPr>
            <w:vAlign w:val="center"/>
          </w:tcPr>
          <w:p w:rsidR="00000000" w:rsidDel="00000000" w:rsidP="00000000" w:rsidRDefault="00000000" w:rsidRPr="00000000" w14:paraId="000002C6">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Wykaz robót budowlanych – wzór dokumentu </w:t>
            </w:r>
          </w:p>
        </w:tc>
      </w:tr>
      <w:tr>
        <w:trPr>
          <w:cantSplit w:val="0"/>
          <w:trHeight w:val="525" w:hRule="atLeast"/>
          <w:tblHeader w:val="0"/>
        </w:trPr>
        <w:tc>
          <w:tcPr>
            <w:vAlign w:val="center"/>
          </w:tcPr>
          <w:p w:rsidR="00000000" w:rsidDel="00000000" w:rsidP="00000000" w:rsidRDefault="00000000" w:rsidRPr="00000000" w14:paraId="000002C7">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Załącznik nr 7b.</w:t>
            </w:r>
          </w:p>
        </w:tc>
        <w:tc>
          <w:tcPr>
            <w:vAlign w:val="center"/>
          </w:tcPr>
          <w:p w:rsidR="00000000" w:rsidDel="00000000" w:rsidP="00000000" w:rsidRDefault="00000000" w:rsidRPr="00000000" w14:paraId="000002C8">
            <w:pPr>
              <w:ind w:right="28"/>
              <w:rPr>
                <w:rFonts w:ascii="Arial" w:cs="Arial" w:eastAsia="Arial" w:hAnsi="Arial"/>
                <w:sz w:val="22"/>
                <w:szCs w:val="22"/>
              </w:rPr>
            </w:pPr>
            <w:r w:rsidDel="00000000" w:rsidR="00000000" w:rsidRPr="00000000">
              <w:rPr>
                <w:rFonts w:ascii="Arial" w:cs="Arial" w:eastAsia="Arial" w:hAnsi="Arial"/>
                <w:sz w:val="22"/>
                <w:szCs w:val="22"/>
                <w:rtl w:val="0"/>
              </w:rPr>
              <w:t xml:space="preserve">Wykaz osób – wzór dokumentu</w:t>
            </w:r>
          </w:p>
        </w:tc>
      </w:tr>
    </w:tbl>
    <w:p w:rsidR="00000000" w:rsidDel="00000000" w:rsidP="00000000" w:rsidRDefault="00000000" w:rsidRPr="00000000" w14:paraId="000002C9">
      <w:pPr>
        <w:spacing w:after="0" w:line="240" w:lineRule="auto"/>
        <w:ind w:left="0" w:firstLine="0"/>
        <w:jc w:val="left"/>
        <w:rPr>
          <w:rFonts w:ascii="Arial" w:cs="Arial" w:eastAsia="Arial" w:hAnsi="Arial"/>
          <w:sz w:val="22"/>
          <w:szCs w:val="22"/>
        </w:rPr>
      </w:pPr>
      <w:r w:rsidDel="00000000" w:rsidR="00000000" w:rsidRPr="00000000">
        <w:rPr>
          <w:rtl w:val="0"/>
        </w:rPr>
      </w:r>
    </w:p>
    <w:sectPr>
      <w:headerReference r:id="rId21" w:type="default"/>
      <w:headerReference r:id="rId22" w:type="first"/>
      <w:headerReference r:id="rId23" w:type="even"/>
      <w:pgSz w:h="16838" w:w="11906" w:orient="portrait"/>
      <w:pgMar w:bottom="1461" w:top="1461" w:left="1385" w:right="1094" w:header="748"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Helvetica Neue"/>
  <w:font w:name="Times New Roman"/>
  <w:font w:name="Noto Sans Symbols"/>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A">
    <w:pPr>
      <w:tabs>
        <w:tab w:val="center" w:leader="none" w:pos="4570"/>
        <w:tab w:val="center" w:leader="none" w:pos="7655"/>
      </w:tabs>
      <w:spacing w:after="456" w:line="259" w:lineRule="auto"/>
      <w:ind w:left="0" w:firstLine="0"/>
      <w:jc w:val="left"/>
      <w:rPr/>
    </w:pPr>
    <w:r w:rsidDel="00000000" w:rsidR="00000000" w:rsidRPr="00000000">
      <w:rPr/>
      <mc:AlternateContent>
        <mc:Choice Requires="wps">
          <w:drawing>
            <wp:anchor allowOverlap="1" behindDoc="0" distB="0" distT="0" distL="114300" distR="114300" hidden="0" layoutInCell="1" locked="0" relativeHeight="0" simplePos="0">
              <wp:simplePos x="0" y="0"/>
              <wp:positionH relativeFrom="page">
                <wp:posOffset>0</wp:posOffset>
              </wp:positionH>
              <wp:positionV relativeFrom="page">
                <wp:posOffset>0</wp:posOffset>
              </wp:positionV>
              <wp:extent cx="5798160" cy="9000"/>
              <wp:effectExtent b="0" l="0" r="0" t="0"/>
              <wp:wrapSquare wrapText="bothSides" distB="0" distT="0" distL="114300" distR="114300"/>
              <wp:docPr id="2" name=""/>
              <a:graphic>
                <a:graphicData uri="http://schemas.microsoft.com/office/word/2010/wordprocessingGroup">
                  <wpg:wgp>
                    <wpg:cNvGrpSpPr/>
                    <wpg:grpSpPr>
                      <a:xfrm>
                        <a:off x="0" y="0"/>
                        <a:ext cx="5798160" cy="9000"/>
                        <a:chOff x="0" y="0"/>
                        <a:chExt cx="5798160" cy="9000"/>
                      </a:xfrm>
                    </wpg:grpSpPr>
                    <wps:wsp>
                      <wps:cNvSpPr/>
                      <wps:cNvPr id="16" name="Dowolny kształt: kształt 16"/>
                      <wps:spPr>
                        <a:xfrm>
                          <a:off x="0" y="0"/>
                          <a:ext cx="5798160" cy="9000"/>
                        </a:xfrm>
                        <a:custGeom>
                          <a:avLst/>
                          <a:gdLst/>
                          <a:ahLst/>
                          <a:cxnLst/>
                          <a:rect b="b" l="l" r="r" t="t"/>
                          <a:pathLst>
                            <a:path h="9144" w="5795772">
                              <a:moveTo>
                                <a:pt x="0" y="0"/>
                              </a:moveTo>
                              <a:lnTo>
                                <a:pt x="5795772" y="0"/>
                              </a:lnTo>
                              <a:lnTo>
                                <a:pt x="5795772" y="9144"/>
                              </a:lnTo>
                              <a:lnTo>
                                <a:pt x="0" y="9144"/>
                              </a:lnTo>
                              <a:lnTo>
                                <a:pt x="0" y="0"/>
                              </a:lnTo>
                            </a:path>
                          </a:pathLst>
                        </a:custGeom>
                        <a:solidFill>
                          <a:srgbClr val="000000"/>
                        </a:solidFill>
                        <a:ln>
                          <a:noFill/>
                        </a:ln>
                      </wps:spPr>
                      <wps:style>
                        <a:lnRef idx="0">
                          <a:scrgbClr b="0" g="0" r="0"/>
                        </a:lnRef>
                        <a:fillRef idx="0">
                          <a:scrgbClr b="0" g="0" r="0"/>
                        </a:fillRef>
                        <a:effectRef idx="0">
                          <a:scrgbClr b="0" g="0" r="0"/>
                        </a:effectRef>
                        <a:fontRef idx="minor"/>
                      </wps:style>
                      <wps:bodyPr/>
                    </wps:wsp>
                  </wpg:wgp>
                </a:graphicData>
              </a:graphic>
            </wp:anchor>
          </w:drawing>
        </mc:Choice>
        <mc:Fallback>
          <w:drawing>
            <wp:anchor allowOverlap="1" behindDoc="0" distB="0" distT="0" distL="114300" distR="114300" hidden="0" layoutInCell="1" locked="0" relativeHeight="0" simplePos="0">
              <wp:simplePos x="0" y="0"/>
              <wp:positionH relativeFrom="page">
                <wp:posOffset>0</wp:posOffset>
              </wp:positionH>
              <wp:positionV relativeFrom="page">
                <wp:posOffset>0</wp:posOffset>
              </wp:positionV>
              <wp:extent cx="5798160" cy="9000"/>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98160" cy="9000"/>
                      </a:xfrm>
                      <a:prstGeom prst="rect"/>
                      <a:ln/>
                    </pic:spPr>
                  </pic:pic>
                </a:graphicData>
              </a:graphic>
            </wp:anchor>
          </w:drawing>
        </mc:Fallback>
      </mc:AlternateContent>
    </w:r>
    <w:r w:rsidDel="00000000" w:rsidR="00000000" w:rsidRPr="00000000">
      <w:rPr>
        <w:b w:val="1"/>
        <w:color w:val="333399"/>
        <w:rtl w:val="0"/>
      </w:rPr>
      <w:t xml:space="preserve">O</w:t>
    </w:r>
    <w:r w:rsidDel="00000000" w:rsidR="00000000" w:rsidRPr="00000000">
      <w:rPr>
        <w:b w:val="1"/>
        <w:color w:val="333399"/>
        <w:sz w:val="16"/>
        <w:szCs w:val="16"/>
        <w:rtl w:val="0"/>
      </w:rPr>
      <w:t xml:space="preserve">ZNACZENIE SPRAWY</w:t>
    </w:r>
    <w:r w:rsidDel="00000000" w:rsidR="00000000" w:rsidRPr="00000000">
      <w:rPr>
        <w:b w:val="1"/>
        <w:color w:val="333399"/>
        <w:rtl w:val="0"/>
      </w:rPr>
      <w:t xml:space="preserve">:</w:t>
      <w:tab/>
      <w:t xml:space="preserve"> </w:t>
      <w:tab/>
      <w:t xml:space="preserve">S</w:t>
    </w:r>
    <w:r w:rsidDel="00000000" w:rsidR="00000000" w:rsidRPr="00000000">
      <w:rPr>
        <w:b w:val="1"/>
        <w:color w:val="333399"/>
        <w:sz w:val="16"/>
        <w:szCs w:val="16"/>
        <w:rtl w:val="0"/>
      </w:rPr>
      <w:t xml:space="preserve">PECYFIKACJA </w:t>
    </w:r>
    <w:r w:rsidDel="00000000" w:rsidR="00000000" w:rsidRPr="00000000">
      <w:rPr>
        <w:b w:val="1"/>
        <w:color w:val="333399"/>
        <w:rtl w:val="0"/>
      </w:rPr>
      <w:t xml:space="preserve">W</w:t>
    </w:r>
    <w:r w:rsidDel="00000000" w:rsidR="00000000" w:rsidRPr="00000000">
      <w:rPr>
        <w:b w:val="1"/>
        <w:color w:val="333399"/>
        <w:sz w:val="16"/>
        <w:szCs w:val="16"/>
        <w:rtl w:val="0"/>
      </w:rPr>
      <w:t xml:space="preserve">ARUNKÓW </w:t>
    </w:r>
    <w:r w:rsidDel="00000000" w:rsidR="00000000" w:rsidRPr="00000000">
      <w:rPr>
        <w:b w:val="1"/>
        <w:color w:val="333399"/>
        <w:rtl w:val="0"/>
      </w:rPr>
      <w:t xml:space="preserve">Z</w:t>
    </w:r>
    <w:r w:rsidDel="00000000" w:rsidR="00000000" w:rsidRPr="00000000">
      <w:rPr>
        <w:b w:val="1"/>
        <w:color w:val="333399"/>
        <w:sz w:val="16"/>
        <w:szCs w:val="16"/>
        <w:rtl w:val="0"/>
      </w:rPr>
      <w:t xml:space="preserve">AMÓWIENIA</w:t>
    </w:r>
    <w:r w:rsidDel="00000000" w:rsidR="00000000" w:rsidRPr="00000000">
      <w:rPr>
        <w:b w:val="1"/>
        <w:color w:val="333399"/>
        <w:rtl w:val="0"/>
      </w:rPr>
      <w:t xml:space="preserve"> </w:t>
    </w:r>
    <w:r w:rsidDel="00000000" w:rsidR="00000000" w:rsidRPr="00000000">
      <w:rPr>
        <w:rtl w:val="0"/>
      </w:rPr>
    </w:r>
  </w:p>
  <w:p w:rsidR="00000000" w:rsidDel="00000000" w:rsidP="00000000" w:rsidRDefault="00000000" w:rsidRPr="00000000" w14:paraId="000002CB">
    <w:pPr>
      <w:spacing w:after="0" w:line="259" w:lineRule="auto"/>
      <w:ind w:left="389" w:firstLine="0"/>
      <w:jc w:val="left"/>
      <w:rPr/>
    </w:pPr>
    <w:r w:rsidDel="00000000" w:rsidR="00000000" w:rsidRPr="00000000">
      <w:rPr>
        <w:rFonts w:ascii="Arial" w:cs="Arial" w:eastAsia="Arial" w:hAnsi="Arial"/>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0" w:line="264" w:lineRule="auto"/>
      <w:ind w:left="20" w:right="0" w:hanging="1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0" w:line="264" w:lineRule="auto"/>
      <w:ind w:left="20" w:right="0" w:hanging="1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2">
    <w:lvl w:ilvl="0">
      <w:start w:val="1"/>
      <w:numFmt w:val="lowerLetter"/>
      <w:lvlText w:val="%1)"/>
      <w:lvlJc w:val="left"/>
      <w:pPr>
        <w:ind w:left="268" w:firstLine="0"/>
      </w:pPr>
      <w:rPr>
        <w:rFonts w:ascii="Arial" w:cs="Arial" w:eastAsia="Arial" w:hAnsi="Arial"/>
        <w:b w:val="0"/>
        <w:i w:val="0"/>
        <w:strike w:val="0"/>
        <w:color w:val="000000"/>
        <w:sz w:val="20"/>
        <w:szCs w:val="20"/>
        <w:u w:val="none"/>
        <w:shd w:fill="auto" w:val="clear"/>
        <w:vertAlign w:val="baseline"/>
      </w:rPr>
    </w:lvl>
    <w:lvl w:ilvl="1">
      <w:start w:val="1"/>
      <w:numFmt w:val="lowerLetter"/>
      <w:lvlText w:val="%2"/>
      <w:lvlJc w:val="left"/>
      <w:pPr>
        <w:ind w:left="1080" w:firstLine="0"/>
      </w:pPr>
      <w:rPr>
        <w:rFonts w:ascii="Arial" w:cs="Arial" w:eastAsia="Arial" w:hAnsi="Arial"/>
        <w:b w:val="0"/>
        <w:i w:val="0"/>
        <w:strike w:val="0"/>
        <w:color w:val="000000"/>
        <w:sz w:val="23"/>
        <w:szCs w:val="23"/>
        <w:u w:val="none"/>
        <w:shd w:fill="auto" w:val="clear"/>
        <w:vertAlign w:val="baseline"/>
      </w:rPr>
    </w:lvl>
    <w:lvl w:ilvl="2">
      <w:start w:val="1"/>
      <w:numFmt w:val="lowerRoman"/>
      <w:lvlText w:val="%3"/>
      <w:lvlJc w:val="left"/>
      <w:pPr>
        <w:ind w:left="1800" w:firstLine="0"/>
      </w:pPr>
      <w:rPr>
        <w:rFonts w:ascii="Arial" w:cs="Arial" w:eastAsia="Arial" w:hAnsi="Arial"/>
        <w:b w:val="0"/>
        <w:i w:val="0"/>
        <w:strike w:val="0"/>
        <w:color w:val="000000"/>
        <w:sz w:val="23"/>
        <w:szCs w:val="23"/>
        <w:u w:val="none"/>
        <w:shd w:fill="auto" w:val="clear"/>
        <w:vertAlign w:val="baseline"/>
      </w:rPr>
    </w:lvl>
    <w:lvl w:ilvl="3">
      <w:start w:val="1"/>
      <w:numFmt w:val="decimal"/>
      <w:lvlText w:val="%4"/>
      <w:lvlJc w:val="left"/>
      <w:pPr>
        <w:ind w:left="2520" w:firstLine="0"/>
      </w:pPr>
      <w:rPr>
        <w:rFonts w:ascii="Arial" w:cs="Arial" w:eastAsia="Arial" w:hAnsi="Arial"/>
        <w:b w:val="0"/>
        <w:i w:val="0"/>
        <w:strike w:val="0"/>
        <w:color w:val="000000"/>
        <w:sz w:val="23"/>
        <w:szCs w:val="23"/>
        <w:u w:val="none"/>
        <w:shd w:fill="auto" w:val="clear"/>
        <w:vertAlign w:val="baseline"/>
      </w:rPr>
    </w:lvl>
    <w:lvl w:ilvl="4">
      <w:start w:val="1"/>
      <w:numFmt w:val="lowerLetter"/>
      <w:lvlText w:val="%5"/>
      <w:lvlJc w:val="left"/>
      <w:pPr>
        <w:ind w:left="3240" w:firstLine="0"/>
      </w:pPr>
      <w:rPr>
        <w:rFonts w:ascii="Arial" w:cs="Arial" w:eastAsia="Arial" w:hAnsi="Arial"/>
        <w:b w:val="0"/>
        <w:i w:val="0"/>
        <w:strike w:val="0"/>
        <w:color w:val="000000"/>
        <w:sz w:val="23"/>
        <w:szCs w:val="23"/>
        <w:u w:val="none"/>
        <w:shd w:fill="auto" w:val="clear"/>
        <w:vertAlign w:val="baseline"/>
      </w:rPr>
    </w:lvl>
    <w:lvl w:ilvl="5">
      <w:start w:val="1"/>
      <w:numFmt w:val="lowerRoman"/>
      <w:lvlText w:val="%6"/>
      <w:lvlJc w:val="left"/>
      <w:pPr>
        <w:ind w:left="3960" w:firstLine="0"/>
      </w:pPr>
      <w:rPr>
        <w:rFonts w:ascii="Arial" w:cs="Arial" w:eastAsia="Arial" w:hAnsi="Arial"/>
        <w:b w:val="0"/>
        <w:i w:val="0"/>
        <w:strike w:val="0"/>
        <w:color w:val="000000"/>
        <w:sz w:val="23"/>
        <w:szCs w:val="23"/>
        <w:u w:val="none"/>
        <w:shd w:fill="auto" w:val="clear"/>
        <w:vertAlign w:val="baseline"/>
      </w:rPr>
    </w:lvl>
    <w:lvl w:ilvl="6">
      <w:start w:val="1"/>
      <w:numFmt w:val="decimal"/>
      <w:lvlText w:val="%7"/>
      <w:lvlJc w:val="left"/>
      <w:pPr>
        <w:ind w:left="4680" w:firstLine="0"/>
      </w:pPr>
      <w:rPr>
        <w:rFonts w:ascii="Arial" w:cs="Arial" w:eastAsia="Arial" w:hAnsi="Arial"/>
        <w:b w:val="0"/>
        <w:i w:val="0"/>
        <w:strike w:val="0"/>
        <w:color w:val="000000"/>
        <w:sz w:val="23"/>
        <w:szCs w:val="23"/>
        <w:u w:val="none"/>
        <w:shd w:fill="auto" w:val="clear"/>
        <w:vertAlign w:val="baseline"/>
      </w:rPr>
    </w:lvl>
    <w:lvl w:ilvl="7">
      <w:start w:val="1"/>
      <w:numFmt w:val="lowerLetter"/>
      <w:lvlText w:val="%8"/>
      <w:lvlJc w:val="left"/>
      <w:pPr>
        <w:ind w:left="5400" w:firstLine="0"/>
      </w:pPr>
      <w:rPr>
        <w:rFonts w:ascii="Arial" w:cs="Arial" w:eastAsia="Arial" w:hAnsi="Arial"/>
        <w:b w:val="0"/>
        <w:i w:val="0"/>
        <w:strike w:val="0"/>
        <w:color w:val="000000"/>
        <w:sz w:val="23"/>
        <w:szCs w:val="23"/>
        <w:u w:val="none"/>
        <w:shd w:fill="auto" w:val="clear"/>
        <w:vertAlign w:val="baseline"/>
      </w:rPr>
    </w:lvl>
    <w:lvl w:ilvl="8">
      <w:start w:val="1"/>
      <w:numFmt w:val="lowerRoman"/>
      <w:lvlText w:val="%9"/>
      <w:lvlJc w:val="left"/>
      <w:pPr>
        <w:ind w:left="6120" w:firstLine="0"/>
      </w:pPr>
      <w:rPr>
        <w:rFonts w:ascii="Arial" w:cs="Arial" w:eastAsia="Arial" w:hAnsi="Arial"/>
        <w:b w:val="0"/>
        <w:i w:val="0"/>
        <w:strike w:val="0"/>
        <w:color w:val="000000"/>
        <w:sz w:val="23"/>
        <w:szCs w:val="23"/>
        <w:u w:val="none"/>
        <w:shd w:fill="auto" w:val="clear"/>
        <w:vertAlign w:val="baseline"/>
      </w:rPr>
    </w:lvl>
  </w:abstractNum>
  <w:abstractNum w:abstractNumId="3">
    <w:lvl w:ilvl="0">
      <w:start w:val="1"/>
      <w:numFmt w:val="lowerLetter"/>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4">
    <w:lvl w:ilvl="0">
      <w:start w:val="1"/>
      <w:numFmt w:val="lowerLetter"/>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5">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6">
    <w:lvl w:ilvl="0">
      <w:start w:val="1"/>
      <w:numFmt w:val="upperLetter"/>
      <w:lvlText w:val="%1."/>
      <w:lvlJc w:val="left"/>
      <w:pPr>
        <w:ind w:left="786" w:hanging="360.00000000000006"/>
      </w:pPr>
      <w:rPr>
        <w:b w:val="1"/>
        <w:color w:val="000000"/>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7">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8">
    <w:lvl w:ilvl="0">
      <w:start w:val="2"/>
      <w:numFmt w:val="decimal"/>
      <w:lvlText w:val="%1."/>
      <w:lvlJc w:val="left"/>
      <w:pPr>
        <w:ind w:left="360" w:hanging="360"/>
      </w:pPr>
      <w:rPr>
        <w:b w:val="1"/>
        <w:color w:val="000000"/>
      </w:rPr>
    </w:lvl>
    <w:lvl w:ilvl="1">
      <w:start w:val="1"/>
      <w:numFmt w:val="decimal"/>
      <w:lvlText w:val="%1.%2."/>
      <w:lvlJc w:val="left"/>
      <w:pPr>
        <w:ind w:left="717" w:hanging="360"/>
      </w:pPr>
      <w:rPr/>
    </w:lvl>
    <w:lvl w:ilvl="2">
      <w:start w:val="1"/>
      <w:numFmt w:val="decimal"/>
      <w:lvlText w:val="%1.%2.%3."/>
      <w:lvlJc w:val="left"/>
      <w:pPr>
        <w:ind w:left="1434" w:hanging="720"/>
      </w:pPr>
      <w:rPr/>
    </w:lvl>
    <w:lvl w:ilvl="3">
      <w:start w:val="1"/>
      <w:numFmt w:val="decimal"/>
      <w:lvlText w:val="%1.%2.%3.%4."/>
      <w:lvlJc w:val="left"/>
      <w:pPr>
        <w:ind w:left="1791" w:hanging="720"/>
      </w:pPr>
      <w:rPr/>
    </w:lvl>
    <w:lvl w:ilvl="4">
      <w:start w:val="1"/>
      <w:numFmt w:val="decimal"/>
      <w:lvlText w:val="%1.%2.%3.%4.%5."/>
      <w:lvlJc w:val="left"/>
      <w:pPr>
        <w:ind w:left="2508" w:hanging="1080"/>
      </w:pPr>
      <w:rPr/>
    </w:lvl>
    <w:lvl w:ilvl="5">
      <w:start w:val="1"/>
      <w:numFmt w:val="decimal"/>
      <w:lvlText w:val="%1.%2.%3.%4.%5.%6."/>
      <w:lvlJc w:val="left"/>
      <w:pPr>
        <w:ind w:left="2865" w:hanging="1080"/>
      </w:pPr>
      <w:rPr/>
    </w:lvl>
    <w:lvl w:ilvl="6">
      <w:start w:val="1"/>
      <w:numFmt w:val="decimal"/>
      <w:lvlText w:val="%1.%2.%3.%4.%5.%6.%7."/>
      <w:lvlJc w:val="left"/>
      <w:pPr>
        <w:ind w:left="3582" w:hanging="1440"/>
      </w:pPr>
      <w:rPr/>
    </w:lvl>
    <w:lvl w:ilvl="7">
      <w:start w:val="1"/>
      <w:numFmt w:val="decimal"/>
      <w:lvlText w:val="%1.%2.%3.%4.%5.%6.%7.%8."/>
      <w:lvlJc w:val="left"/>
      <w:pPr>
        <w:ind w:left="3939" w:hanging="1440"/>
      </w:pPr>
      <w:rPr/>
    </w:lvl>
    <w:lvl w:ilvl="8">
      <w:start w:val="1"/>
      <w:numFmt w:val="decimal"/>
      <w:lvlText w:val="%1.%2.%3.%4.%5.%6.%7.%8.%9."/>
      <w:lvlJc w:val="left"/>
      <w:pPr>
        <w:ind w:left="4656" w:hanging="1800"/>
      </w:pPr>
      <w:rPr/>
    </w:lvl>
  </w:abstractNum>
  <w:abstractNum w:abstractNumId="9">
    <w:lvl w:ilvl="0">
      <w:start w:val="1"/>
      <w:numFmt w:val="bullet"/>
      <w:lvlText w:val="•"/>
      <w:lvlJc w:val="left"/>
      <w:pPr>
        <w:ind w:left="360"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1">
      <w:start w:val="1"/>
      <w:numFmt w:val="bullet"/>
      <w:lvlText w:val="□"/>
      <w:lvlJc w:val="left"/>
      <w:pPr>
        <w:ind w:left="647"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2">
      <w:start w:val="1"/>
      <w:numFmt w:val="bullet"/>
      <w:lvlText w:val="▪"/>
      <w:lvlJc w:val="left"/>
      <w:pPr>
        <w:ind w:left="933"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3">
      <w:start w:val="1"/>
      <w:numFmt w:val="bullet"/>
      <w:lvlText w:val="▪"/>
      <w:lvlJc w:val="left"/>
      <w:pPr>
        <w:ind w:left="1142"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4">
      <w:start w:val="1"/>
      <w:numFmt w:val="bullet"/>
      <w:lvlText w:val="□"/>
      <w:lvlJc w:val="left"/>
      <w:pPr>
        <w:ind w:left="1940"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5">
      <w:start w:val="1"/>
      <w:numFmt w:val="bullet"/>
      <w:lvlText w:val="▪"/>
      <w:lvlJc w:val="left"/>
      <w:pPr>
        <w:ind w:left="2660"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6">
      <w:start w:val="1"/>
      <w:numFmt w:val="bullet"/>
      <w:lvlText w:val="•"/>
      <w:lvlJc w:val="left"/>
      <w:pPr>
        <w:ind w:left="3380"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7">
      <w:start w:val="1"/>
      <w:numFmt w:val="bullet"/>
      <w:lvlText w:val="□"/>
      <w:lvlJc w:val="left"/>
      <w:pPr>
        <w:ind w:left="4100" w:firstLine="0"/>
      </w:pPr>
      <w:rPr>
        <w:rFonts w:ascii="Noto Sans Symbols" w:cs="Noto Sans Symbols" w:eastAsia="Noto Sans Symbols" w:hAnsi="Noto Sans Symbols"/>
        <w:b w:val="0"/>
        <w:i w:val="0"/>
        <w:strike w:val="0"/>
        <w:color w:val="000000"/>
        <w:sz w:val="20"/>
        <w:szCs w:val="20"/>
        <w:u w:val="none"/>
        <w:shd w:fill="auto" w:val="clear"/>
        <w:vertAlign w:val="baseline"/>
      </w:rPr>
    </w:lvl>
    <w:lvl w:ilvl="8">
      <w:start w:val="1"/>
      <w:numFmt w:val="bullet"/>
      <w:lvlText w:val="▪"/>
      <w:lvlJc w:val="left"/>
      <w:pPr>
        <w:ind w:left="4820" w:firstLine="0"/>
      </w:pPr>
      <w:rPr>
        <w:rFonts w:ascii="Noto Sans Symbols" w:cs="Noto Sans Symbols" w:eastAsia="Noto Sans Symbols" w:hAnsi="Noto Sans Symbols"/>
        <w:b w:val="0"/>
        <w:i w:val="0"/>
        <w:strike w:val="0"/>
        <w:color w:val="000000"/>
        <w:sz w:val="20"/>
        <w:szCs w:val="20"/>
        <w:u w:val="none"/>
        <w:shd w:fill="auto" w:val="clear"/>
        <w:vertAlign w:val="baseline"/>
      </w:rPr>
    </w:lvl>
  </w:abstractNum>
  <w:abstractNum w:abstractNumId="10">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1">
    <w:lvl w:ilvl="0">
      <w:start w:val="1"/>
      <w:numFmt w:val="lowerLetter"/>
      <w:lvlText w:val="%1)"/>
      <w:lvlJc w:val="left"/>
      <w:pPr>
        <w:ind w:left="193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3">
    <w:lvl w:ilvl="0">
      <w:start w:val="1"/>
      <w:numFmt w:val="decimal"/>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4">
    <w:lvl w:ilvl="0">
      <w:start w:val="1"/>
      <w:numFmt w:val="lowerLetter"/>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5">
    <w:lvl w:ilvl="0">
      <w:start w:val="1"/>
      <w:numFmt w:val="lowerLetter"/>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16">
    <w:lvl w:ilvl="0">
      <w:start w:val="1"/>
      <w:numFmt w:val="lowerLetter"/>
      <w:lvlText w:val="%1)"/>
      <w:lvlJc w:val="left"/>
      <w:pPr>
        <w:ind w:left="1270" w:hanging="420"/>
      </w:pPr>
      <w:rPr>
        <w:color w:val="000000"/>
      </w:rPr>
    </w:lvl>
    <w:lvl w:ilvl="1">
      <w:start w:val="1"/>
      <w:numFmt w:val="lowerLetter"/>
      <w:lvlText w:val="%2)"/>
      <w:lvlJc w:val="left"/>
      <w:pPr>
        <w:ind w:left="1930" w:hanging="360"/>
      </w:pPr>
      <w:rPr/>
    </w:lvl>
    <w:lvl w:ilvl="2">
      <w:start w:val="1"/>
      <w:numFmt w:val="lowerRoman"/>
      <w:lvlText w:val="%3."/>
      <w:lvlJc w:val="right"/>
      <w:pPr>
        <w:ind w:left="2650" w:hanging="180"/>
      </w:pPr>
      <w:rPr/>
    </w:lvl>
    <w:lvl w:ilvl="3">
      <w:start w:val="1"/>
      <w:numFmt w:val="decimal"/>
      <w:lvlText w:val="%4."/>
      <w:lvlJc w:val="left"/>
      <w:pPr>
        <w:ind w:left="3370" w:hanging="360"/>
      </w:pPr>
      <w:rPr/>
    </w:lvl>
    <w:lvl w:ilvl="4">
      <w:start w:val="1"/>
      <w:numFmt w:val="lowerLetter"/>
      <w:lvlText w:val="%5."/>
      <w:lvlJc w:val="left"/>
      <w:pPr>
        <w:ind w:left="4090" w:hanging="360"/>
      </w:pPr>
      <w:rPr/>
    </w:lvl>
    <w:lvl w:ilvl="5">
      <w:start w:val="1"/>
      <w:numFmt w:val="lowerRoman"/>
      <w:lvlText w:val="%6."/>
      <w:lvlJc w:val="right"/>
      <w:pPr>
        <w:ind w:left="4810" w:hanging="180"/>
      </w:pPr>
      <w:rPr/>
    </w:lvl>
    <w:lvl w:ilvl="6">
      <w:start w:val="1"/>
      <w:numFmt w:val="decimal"/>
      <w:lvlText w:val="%7."/>
      <w:lvlJc w:val="left"/>
      <w:pPr>
        <w:ind w:left="5530" w:hanging="360"/>
      </w:pPr>
      <w:rPr/>
    </w:lvl>
    <w:lvl w:ilvl="7">
      <w:start w:val="1"/>
      <w:numFmt w:val="lowerLetter"/>
      <w:lvlText w:val="%8."/>
      <w:lvlJc w:val="left"/>
      <w:pPr>
        <w:ind w:left="6250" w:hanging="360"/>
      </w:pPr>
      <w:rPr/>
    </w:lvl>
    <w:lvl w:ilvl="8">
      <w:start w:val="1"/>
      <w:numFmt w:val="lowerRoman"/>
      <w:lvlText w:val="%9."/>
      <w:lvlJc w:val="right"/>
      <w:pPr>
        <w:ind w:left="6970" w:hanging="180"/>
      </w:pPr>
      <w:rPr/>
    </w:lvl>
  </w:abstractNum>
  <w:abstractNum w:abstractNumId="17">
    <w:lvl w:ilvl="0">
      <w:start w:val="1"/>
      <w:numFmt w:val="decimal"/>
      <w:lvlText w:val="%1."/>
      <w:lvlJc w:val="left"/>
      <w:pPr>
        <w:ind w:left="786" w:hanging="360.00000000000006"/>
      </w:pPr>
      <w:rPr/>
    </w:lvl>
    <w:lvl w:ilvl="1">
      <w:start w:val="1"/>
      <w:numFmt w:val="decimal"/>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8">
    <w:lvl w:ilvl="0">
      <w:start w:val="1"/>
      <w:numFmt w:val="lowerLetter"/>
      <w:lvlText w:val="%1)"/>
      <w:lvlJc w:val="left"/>
      <w:pPr>
        <w:ind w:left="1470" w:hanging="624"/>
      </w:pPr>
      <w:rPr/>
    </w:lvl>
    <w:lvl w:ilvl="1">
      <w:start w:val="1"/>
      <w:numFmt w:val="lowerLetter"/>
      <w:lvlText w:val="%2."/>
      <w:lvlJc w:val="left"/>
      <w:pPr>
        <w:ind w:left="1926" w:hanging="360"/>
      </w:pPr>
      <w:rPr/>
    </w:lvl>
    <w:lvl w:ilvl="2">
      <w:start w:val="1"/>
      <w:numFmt w:val="lowerRoman"/>
      <w:lvlText w:val="%3."/>
      <w:lvlJc w:val="right"/>
      <w:pPr>
        <w:ind w:left="2646" w:hanging="180"/>
      </w:pPr>
      <w:rPr/>
    </w:lvl>
    <w:lvl w:ilvl="3">
      <w:start w:val="1"/>
      <w:numFmt w:val="decimal"/>
      <w:lvlText w:val="%4."/>
      <w:lvlJc w:val="left"/>
      <w:pPr>
        <w:ind w:left="3366" w:hanging="360"/>
      </w:pPr>
      <w:rPr/>
    </w:lvl>
    <w:lvl w:ilvl="4">
      <w:start w:val="1"/>
      <w:numFmt w:val="lowerLetter"/>
      <w:lvlText w:val="%5."/>
      <w:lvlJc w:val="left"/>
      <w:pPr>
        <w:ind w:left="4086" w:hanging="360"/>
      </w:pPr>
      <w:rPr/>
    </w:lvl>
    <w:lvl w:ilvl="5">
      <w:start w:val="1"/>
      <w:numFmt w:val="lowerRoman"/>
      <w:lvlText w:val="%6."/>
      <w:lvlJc w:val="right"/>
      <w:pPr>
        <w:ind w:left="4806" w:hanging="180"/>
      </w:pPr>
      <w:rPr/>
    </w:lvl>
    <w:lvl w:ilvl="6">
      <w:start w:val="1"/>
      <w:numFmt w:val="decimal"/>
      <w:lvlText w:val="%7."/>
      <w:lvlJc w:val="left"/>
      <w:pPr>
        <w:ind w:left="5526" w:hanging="360"/>
      </w:pPr>
      <w:rPr/>
    </w:lvl>
    <w:lvl w:ilvl="7">
      <w:start w:val="1"/>
      <w:numFmt w:val="lowerLetter"/>
      <w:lvlText w:val="%8."/>
      <w:lvlJc w:val="left"/>
      <w:pPr>
        <w:ind w:left="6246" w:hanging="360"/>
      </w:pPr>
      <w:rPr/>
    </w:lvl>
    <w:lvl w:ilvl="8">
      <w:start w:val="1"/>
      <w:numFmt w:val="lowerRoman"/>
      <w:lvlText w:val="%9."/>
      <w:lvlJc w:val="right"/>
      <w:pPr>
        <w:ind w:left="6966" w:hanging="180"/>
      </w:pPr>
      <w:rPr/>
    </w:lvl>
  </w:abstractNum>
  <w:abstractNum w:abstractNumId="19">
    <w:lvl w:ilvl="0">
      <w:start w:val="1"/>
      <w:numFmt w:val="lowerLetter"/>
      <w:lvlText w:val="%1)"/>
      <w:lvlJc w:val="left"/>
      <w:pPr>
        <w:ind w:left="1506" w:hanging="360"/>
      </w:pPr>
      <w:rPr/>
    </w:lvl>
    <w:lvl w:ilvl="1">
      <w:start w:val="1"/>
      <w:numFmt w:val="lowerLetter"/>
      <w:lvlText w:val="%2)"/>
      <w:lvlJc w:val="left"/>
      <w:pPr>
        <w:ind w:left="2226" w:hanging="360"/>
      </w:pPr>
      <w:rPr/>
    </w:lvl>
    <w:lvl w:ilvl="2">
      <w:start w:val="1"/>
      <w:numFmt w:val="lowerRoman"/>
      <w:lvlText w:val="%3."/>
      <w:lvlJc w:val="right"/>
      <w:pPr>
        <w:ind w:left="2946" w:hanging="180"/>
      </w:pPr>
      <w:rPr/>
    </w:lvl>
    <w:lvl w:ilvl="3">
      <w:start w:val="1"/>
      <w:numFmt w:val="decimal"/>
      <w:lvlText w:val="%4."/>
      <w:lvlJc w:val="left"/>
      <w:pPr>
        <w:ind w:left="3666" w:hanging="360"/>
      </w:pPr>
      <w:rPr/>
    </w:lvl>
    <w:lvl w:ilvl="4">
      <w:start w:val="1"/>
      <w:numFmt w:val="lowerLetter"/>
      <w:lvlText w:val="%5."/>
      <w:lvlJc w:val="left"/>
      <w:pPr>
        <w:ind w:left="4386" w:hanging="360"/>
      </w:pPr>
      <w:rPr/>
    </w:lvl>
    <w:lvl w:ilvl="5">
      <w:start w:val="1"/>
      <w:numFmt w:val="lowerRoman"/>
      <w:lvlText w:val="%6."/>
      <w:lvlJc w:val="right"/>
      <w:pPr>
        <w:ind w:left="5106" w:hanging="180"/>
      </w:pPr>
      <w:rPr/>
    </w:lvl>
    <w:lvl w:ilvl="6">
      <w:start w:val="1"/>
      <w:numFmt w:val="decimal"/>
      <w:lvlText w:val="%7."/>
      <w:lvlJc w:val="left"/>
      <w:pPr>
        <w:ind w:left="5826" w:hanging="360"/>
      </w:pPr>
      <w:rPr/>
    </w:lvl>
    <w:lvl w:ilvl="7">
      <w:start w:val="1"/>
      <w:numFmt w:val="lowerLetter"/>
      <w:lvlText w:val="%8."/>
      <w:lvlJc w:val="left"/>
      <w:pPr>
        <w:ind w:left="6546" w:hanging="360"/>
      </w:pPr>
      <w:rPr/>
    </w:lvl>
    <w:lvl w:ilvl="8">
      <w:start w:val="1"/>
      <w:numFmt w:val="lowerRoman"/>
      <w:lvlText w:val="%9."/>
      <w:lvlJc w:val="right"/>
      <w:pPr>
        <w:ind w:left="7266" w:hanging="180"/>
      </w:pPr>
      <w:rPr/>
    </w:lvl>
  </w:abstractNum>
  <w:abstractNum w:abstractNumId="20">
    <w:lvl w:ilvl="0">
      <w:start w:val="1"/>
      <w:numFmt w:val="lowerLetter"/>
      <w:lvlText w:val="%1)"/>
      <w:lvlJc w:val="left"/>
      <w:pPr>
        <w:ind w:left="1206" w:hanging="360"/>
      </w:pPr>
      <w:rPr>
        <w:color w:val="000000"/>
      </w:rPr>
    </w:lvl>
    <w:lvl w:ilvl="1">
      <w:start w:val="1"/>
      <w:numFmt w:val="lowerLetter"/>
      <w:lvlText w:val="%2."/>
      <w:lvlJc w:val="left"/>
      <w:pPr>
        <w:ind w:left="1926" w:hanging="360"/>
      </w:pPr>
      <w:rPr/>
    </w:lvl>
    <w:lvl w:ilvl="2">
      <w:start w:val="1"/>
      <w:numFmt w:val="lowerRoman"/>
      <w:lvlText w:val="%3."/>
      <w:lvlJc w:val="right"/>
      <w:pPr>
        <w:ind w:left="2646" w:hanging="180"/>
      </w:pPr>
      <w:rPr/>
    </w:lvl>
    <w:lvl w:ilvl="3">
      <w:start w:val="1"/>
      <w:numFmt w:val="decimal"/>
      <w:lvlText w:val="%4."/>
      <w:lvlJc w:val="left"/>
      <w:pPr>
        <w:ind w:left="3366" w:hanging="360"/>
      </w:pPr>
      <w:rPr/>
    </w:lvl>
    <w:lvl w:ilvl="4">
      <w:start w:val="1"/>
      <w:numFmt w:val="lowerLetter"/>
      <w:lvlText w:val="%5."/>
      <w:lvlJc w:val="left"/>
      <w:pPr>
        <w:ind w:left="4086" w:hanging="360"/>
      </w:pPr>
      <w:rPr/>
    </w:lvl>
    <w:lvl w:ilvl="5">
      <w:start w:val="1"/>
      <w:numFmt w:val="lowerRoman"/>
      <w:lvlText w:val="%6."/>
      <w:lvlJc w:val="right"/>
      <w:pPr>
        <w:ind w:left="4806" w:hanging="180"/>
      </w:pPr>
      <w:rPr/>
    </w:lvl>
    <w:lvl w:ilvl="6">
      <w:start w:val="1"/>
      <w:numFmt w:val="decimal"/>
      <w:lvlText w:val="%7."/>
      <w:lvlJc w:val="left"/>
      <w:pPr>
        <w:ind w:left="5526" w:hanging="360"/>
      </w:pPr>
      <w:rPr/>
    </w:lvl>
    <w:lvl w:ilvl="7">
      <w:start w:val="1"/>
      <w:numFmt w:val="lowerLetter"/>
      <w:lvlText w:val="%8."/>
      <w:lvlJc w:val="left"/>
      <w:pPr>
        <w:ind w:left="6246" w:hanging="360"/>
      </w:pPr>
      <w:rPr/>
    </w:lvl>
    <w:lvl w:ilvl="8">
      <w:start w:val="1"/>
      <w:numFmt w:val="lowerRoman"/>
      <w:lvlText w:val="%9."/>
      <w:lvlJc w:val="right"/>
      <w:pPr>
        <w:ind w:left="6966" w:hanging="180"/>
      </w:pPr>
      <w:rPr/>
    </w:lvl>
  </w:abstractNum>
  <w:abstractNum w:abstractNumId="21">
    <w:lvl w:ilvl="0">
      <w:start w:val="1"/>
      <w:numFmt w:val="lowerLetter"/>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22">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3">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24">
    <w:lvl w:ilvl="0">
      <w:start w:val="1"/>
      <w:numFmt w:val="bullet"/>
      <w:lvlText w:val="●"/>
      <w:lvlJc w:val="left"/>
      <w:pPr>
        <w:ind w:left="1931" w:hanging="360"/>
      </w:pPr>
      <w:rPr>
        <w:rFonts w:ascii="Noto Sans Symbols" w:cs="Noto Sans Symbols" w:eastAsia="Noto Sans Symbols" w:hAnsi="Noto Sans Symbols"/>
      </w:rPr>
    </w:lvl>
    <w:lvl w:ilvl="1">
      <w:start w:val="1"/>
      <w:numFmt w:val="bullet"/>
      <w:lvlText w:val="o"/>
      <w:lvlJc w:val="left"/>
      <w:pPr>
        <w:ind w:left="2651" w:hanging="360"/>
      </w:pPr>
      <w:rPr>
        <w:rFonts w:ascii="Courier New" w:cs="Courier New" w:eastAsia="Courier New" w:hAnsi="Courier New"/>
      </w:rPr>
    </w:lvl>
    <w:lvl w:ilvl="2">
      <w:start w:val="1"/>
      <w:numFmt w:val="bullet"/>
      <w:lvlText w:val="▪"/>
      <w:lvlJc w:val="left"/>
      <w:pPr>
        <w:ind w:left="3371" w:hanging="360"/>
      </w:pPr>
      <w:rPr>
        <w:rFonts w:ascii="Noto Sans Symbols" w:cs="Noto Sans Symbols" w:eastAsia="Noto Sans Symbols" w:hAnsi="Noto Sans Symbols"/>
      </w:rPr>
    </w:lvl>
    <w:lvl w:ilvl="3">
      <w:start w:val="1"/>
      <w:numFmt w:val="bullet"/>
      <w:lvlText w:val="●"/>
      <w:lvlJc w:val="left"/>
      <w:pPr>
        <w:ind w:left="4091" w:hanging="360"/>
      </w:pPr>
      <w:rPr>
        <w:rFonts w:ascii="Noto Sans Symbols" w:cs="Noto Sans Symbols" w:eastAsia="Noto Sans Symbols" w:hAnsi="Noto Sans Symbols"/>
      </w:rPr>
    </w:lvl>
    <w:lvl w:ilvl="4">
      <w:start w:val="1"/>
      <w:numFmt w:val="bullet"/>
      <w:lvlText w:val="o"/>
      <w:lvlJc w:val="left"/>
      <w:pPr>
        <w:ind w:left="4811" w:hanging="360"/>
      </w:pPr>
      <w:rPr>
        <w:rFonts w:ascii="Courier New" w:cs="Courier New" w:eastAsia="Courier New" w:hAnsi="Courier New"/>
      </w:rPr>
    </w:lvl>
    <w:lvl w:ilvl="5">
      <w:start w:val="1"/>
      <w:numFmt w:val="bullet"/>
      <w:lvlText w:val="▪"/>
      <w:lvlJc w:val="left"/>
      <w:pPr>
        <w:ind w:left="5531" w:hanging="360"/>
      </w:pPr>
      <w:rPr>
        <w:rFonts w:ascii="Noto Sans Symbols" w:cs="Noto Sans Symbols" w:eastAsia="Noto Sans Symbols" w:hAnsi="Noto Sans Symbols"/>
      </w:rPr>
    </w:lvl>
    <w:lvl w:ilvl="6">
      <w:start w:val="1"/>
      <w:numFmt w:val="bullet"/>
      <w:lvlText w:val="●"/>
      <w:lvlJc w:val="left"/>
      <w:pPr>
        <w:ind w:left="6251" w:hanging="360"/>
      </w:pPr>
      <w:rPr>
        <w:rFonts w:ascii="Noto Sans Symbols" w:cs="Noto Sans Symbols" w:eastAsia="Noto Sans Symbols" w:hAnsi="Noto Sans Symbols"/>
      </w:rPr>
    </w:lvl>
    <w:lvl w:ilvl="7">
      <w:start w:val="1"/>
      <w:numFmt w:val="bullet"/>
      <w:lvlText w:val="o"/>
      <w:lvlJc w:val="left"/>
      <w:pPr>
        <w:ind w:left="6971" w:hanging="360"/>
      </w:pPr>
      <w:rPr>
        <w:rFonts w:ascii="Courier New" w:cs="Courier New" w:eastAsia="Courier New" w:hAnsi="Courier New"/>
      </w:rPr>
    </w:lvl>
    <w:lvl w:ilvl="8">
      <w:start w:val="1"/>
      <w:numFmt w:val="bullet"/>
      <w:lvlText w:val="▪"/>
      <w:lvlJc w:val="left"/>
      <w:pPr>
        <w:ind w:left="7691" w:hanging="360"/>
      </w:pPr>
      <w:rPr>
        <w:rFonts w:ascii="Noto Sans Symbols" w:cs="Noto Sans Symbols" w:eastAsia="Noto Sans Symbols" w:hAnsi="Noto Sans Symbols"/>
      </w:rPr>
    </w:lvl>
  </w:abstractNum>
  <w:abstractNum w:abstractNumId="25">
    <w:lvl w:ilvl="0">
      <w:start w:val="1"/>
      <w:numFmt w:val="decimal"/>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26">
    <w:lvl w:ilvl="0">
      <w:start w:val="1"/>
      <w:numFmt w:val="decimal"/>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27">
    <w:lvl w:ilvl="0">
      <w:start w:val="1"/>
      <w:numFmt w:val="bullet"/>
      <w:lvlText w:val="●"/>
      <w:lvlJc w:val="left"/>
      <w:pPr>
        <w:ind w:left="1920" w:hanging="360"/>
      </w:pPr>
      <w:rPr>
        <w:rFonts w:ascii="Noto Sans Symbols" w:cs="Noto Sans Symbols" w:eastAsia="Noto Sans Symbols" w:hAnsi="Noto Sans Symbols"/>
      </w:rPr>
    </w:lvl>
    <w:lvl w:ilvl="1">
      <w:start w:val="1"/>
      <w:numFmt w:val="bullet"/>
      <w:lvlText w:val="o"/>
      <w:lvlJc w:val="left"/>
      <w:pPr>
        <w:ind w:left="2640" w:hanging="360"/>
      </w:pPr>
      <w:rPr>
        <w:rFonts w:ascii="Courier New" w:cs="Courier New" w:eastAsia="Courier New" w:hAnsi="Courier New"/>
      </w:rPr>
    </w:lvl>
    <w:lvl w:ilvl="2">
      <w:start w:val="1"/>
      <w:numFmt w:val="bullet"/>
      <w:lvlText w:val="▪"/>
      <w:lvlJc w:val="left"/>
      <w:pPr>
        <w:ind w:left="3360" w:hanging="360"/>
      </w:pPr>
      <w:rPr>
        <w:rFonts w:ascii="Noto Sans Symbols" w:cs="Noto Sans Symbols" w:eastAsia="Noto Sans Symbols" w:hAnsi="Noto Sans Symbols"/>
      </w:rPr>
    </w:lvl>
    <w:lvl w:ilvl="3">
      <w:start w:val="1"/>
      <w:numFmt w:val="bullet"/>
      <w:lvlText w:val="●"/>
      <w:lvlJc w:val="left"/>
      <w:pPr>
        <w:ind w:left="4080" w:hanging="360"/>
      </w:pPr>
      <w:rPr>
        <w:rFonts w:ascii="Noto Sans Symbols" w:cs="Noto Sans Symbols" w:eastAsia="Noto Sans Symbols" w:hAnsi="Noto Sans Symbols"/>
      </w:rPr>
    </w:lvl>
    <w:lvl w:ilvl="4">
      <w:start w:val="1"/>
      <w:numFmt w:val="bullet"/>
      <w:lvlText w:val="o"/>
      <w:lvlJc w:val="left"/>
      <w:pPr>
        <w:ind w:left="4800" w:hanging="360"/>
      </w:pPr>
      <w:rPr>
        <w:rFonts w:ascii="Courier New" w:cs="Courier New" w:eastAsia="Courier New" w:hAnsi="Courier New"/>
      </w:rPr>
    </w:lvl>
    <w:lvl w:ilvl="5">
      <w:start w:val="1"/>
      <w:numFmt w:val="bullet"/>
      <w:lvlText w:val="▪"/>
      <w:lvlJc w:val="left"/>
      <w:pPr>
        <w:ind w:left="5520" w:hanging="360"/>
      </w:pPr>
      <w:rPr>
        <w:rFonts w:ascii="Noto Sans Symbols" w:cs="Noto Sans Symbols" w:eastAsia="Noto Sans Symbols" w:hAnsi="Noto Sans Symbols"/>
      </w:rPr>
    </w:lvl>
    <w:lvl w:ilvl="6">
      <w:start w:val="1"/>
      <w:numFmt w:val="bullet"/>
      <w:lvlText w:val="●"/>
      <w:lvlJc w:val="left"/>
      <w:pPr>
        <w:ind w:left="6240" w:hanging="360"/>
      </w:pPr>
      <w:rPr>
        <w:rFonts w:ascii="Noto Sans Symbols" w:cs="Noto Sans Symbols" w:eastAsia="Noto Sans Symbols" w:hAnsi="Noto Sans Symbols"/>
      </w:rPr>
    </w:lvl>
    <w:lvl w:ilvl="7">
      <w:start w:val="1"/>
      <w:numFmt w:val="bullet"/>
      <w:lvlText w:val="o"/>
      <w:lvlJc w:val="left"/>
      <w:pPr>
        <w:ind w:left="6960" w:hanging="360"/>
      </w:pPr>
      <w:rPr>
        <w:rFonts w:ascii="Courier New" w:cs="Courier New" w:eastAsia="Courier New" w:hAnsi="Courier New"/>
      </w:rPr>
    </w:lvl>
    <w:lvl w:ilvl="8">
      <w:start w:val="1"/>
      <w:numFmt w:val="bullet"/>
      <w:lvlText w:val="▪"/>
      <w:lvlJc w:val="left"/>
      <w:pPr>
        <w:ind w:left="7680" w:hanging="360"/>
      </w:pPr>
      <w:rPr>
        <w:rFonts w:ascii="Noto Sans Symbols" w:cs="Noto Sans Symbols" w:eastAsia="Noto Sans Symbols" w:hAnsi="Noto Sans Symbols"/>
      </w:rPr>
    </w:lvl>
  </w:abstractNum>
  <w:abstractNum w:abstractNumId="28">
    <w:lvl w:ilvl="0">
      <w:start w:val="1"/>
      <w:numFmt w:val="decimal"/>
      <w:lvlText w:val="%1."/>
      <w:lvlJc w:val="left"/>
      <w:pPr>
        <w:ind w:left="792" w:hanging="432"/>
      </w:pPr>
      <w:rPr>
        <w:b w:val="0"/>
        <w:u w:val="no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30">
    <w:lvl w:ilvl="0">
      <w:start w:val="1"/>
      <w:numFmt w:val="decimal"/>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31">
    <w:lvl w:ilvl="0">
      <w:start w:val="1"/>
      <w:numFmt w:val="lowerLetter"/>
      <w:lvlText w:val="%1)"/>
      <w:lvlJc w:val="left"/>
      <w:pPr>
        <w:ind w:left="1146" w:hanging="360"/>
      </w:pPr>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2">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3">
    <w:lvl w:ilvl="0">
      <w:start w:val="1"/>
      <w:numFmt w:val="decimal"/>
      <w:lvlText w:val="%1)"/>
      <w:lvlJc w:val="left"/>
      <w:pPr>
        <w:ind w:left="786" w:hanging="360.00000000000006"/>
      </w:pPr>
      <w:rPr>
        <w:color w:val="000000"/>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34">
    <w:lvl w:ilvl="0">
      <w:start w:val="1"/>
      <w:numFmt w:val="decimal"/>
      <w:lvlText w:val="%1)"/>
      <w:lvlJc w:val="left"/>
      <w:pPr>
        <w:ind w:left="846" w:hanging="42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pl-PL"/>
      </w:rPr>
    </w:rPrDefault>
    <w:pPrDefault>
      <w:pPr>
        <w:spacing w:after="57" w:line="264" w:lineRule="auto"/>
        <w:ind w:left="20" w:hanging="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32" w:firstLine="0"/>
      <w:jc w:val="center"/>
    </w:pPr>
    <w:rPr>
      <w:rFonts w:ascii="Calibri" w:cs="Calibri" w:eastAsia="Calibri" w:hAnsi="Calibri"/>
      <w:b w:val="1"/>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8" w:before="0" w:line="259" w:lineRule="auto"/>
      <w:ind w:left="578" w:right="0" w:hanging="578"/>
      <w:jc w:val="left"/>
    </w:pPr>
    <w:rPr>
      <w:rFonts w:ascii="Calibri" w:cs="Calibri" w:eastAsia="Calibri" w:hAnsi="Calibri"/>
      <w:b w:val="1"/>
      <w:i w:val="0"/>
      <w:smallCaps w:val="0"/>
      <w:strike w:val="0"/>
      <w:color w:val="000000"/>
      <w:sz w:val="20"/>
      <w:szCs w:val="20"/>
      <w:highlight w:val="cyan"/>
      <w:u w:val="none"/>
      <w:vertAlign w:val="baseline"/>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platformazakupowa.pl/strona/45-instrukcje" TargetMode="External"/><Relationship Id="rId11" Type="http://schemas.openxmlformats.org/officeDocument/2006/relationships/hyperlink" Target="https://platformazakupowa.pl/transakcja/940254" TargetMode="External"/><Relationship Id="rId22" Type="http://schemas.openxmlformats.org/officeDocument/2006/relationships/header" Target="header3.xml"/><Relationship Id="rId10" Type="http://schemas.openxmlformats.org/officeDocument/2006/relationships/hyperlink" Target="mailto:iod@simzaglebie.pl" TargetMode="External"/><Relationship Id="rId21" Type="http://schemas.openxmlformats.org/officeDocument/2006/relationships/header" Target="header2.xml"/><Relationship Id="rId13" Type="http://schemas.openxmlformats.org/officeDocument/2006/relationships/hyperlink" Target="https://platformazakupowa.pl/strona/1-regulamin" TargetMode="External"/><Relationship Id="rId12" Type="http://schemas.openxmlformats.org/officeDocument/2006/relationships/hyperlink" Target="mailto:zamowienia@simzaglebie.pl"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hyperlink" Target="https://platformazakupowa.pl/strona/1-regulamin" TargetMode="External"/><Relationship Id="rId14" Type="http://schemas.openxmlformats.org/officeDocument/2006/relationships/hyperlink" Target="https://platformazakupowa.pl/strona/45-instrukcje" TargetMode="External"/><Relationship Id="rId17" Type="http://schemas.openxmlformats.org/officeDocument/2006/relationships/hyperlink" Target="mailto:cwk@platformazakupowa.pl" TargetMode="External"/><Relationship Id="rId16" Type="http://schemas.openxmlformats.org/officeDocument/2006/relationships/hyperlink" Target="https://platformazakupowa.pl/strona/45-instrukcje" TargetMode="External"/><Relationship Id="rId5" Type="http://schemas.openxmlformats.org/officeDocument/2006/relationships/styles" Target="styles.xml"/><Relationship Id="rId19" Type="http://schemas.openxmlformats.org/officeDocument/2006/relationships/hyperlink" Target="https://platformazakupowa.pl/transakcja/940254" TargetMode="External"/><Relationship Id="rId6" Type="http://schemas.openxmlformats.org/officeDocument/2006/relationships/hyperlink" Target="mailto:zamowienia@simzaglebie.pl" TargetMode="External"/><Relationship Id="rId18" Type="http://schemas.openxmlformats.org/officeDocument/2006/relationships/hyperlink" Target="https://platformazakupowa.pl/pn/simzaglebie" TargetMode="External"/><Relationship Id="rId7" Type="http://schemas.openxmlformats.org/officeDocument/2006/relationships/hyperlink" Target="https://platformazakupowa.pl/pn/sim_zaglebie" TargetMode="External"/><Relationship Id="rId8" Type="http://schemas.openxmlformats.org/officeDocument/2006/relationships/hyperlink" Target="https://platformazakupowa.pl/transakcja/9402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